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4AC8" w14:textId="77777777" w:rsidR="00CE549A" w:rsidRPr="00E02E7D" w:rsidRDefault="00EE1A82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E02E7D">
        <w:rPr>
          <w:rFonts w:ascii="Sylfaen" w:hAnsi="Sylfaen"/>
          <w:b/>
          <w:sz w:val="24"/>
          <w:szCs w:val="24"/>
        </w:rPr>
        <w:t xml:space="preserve">N. </w:t>
      </w:r>
      <w:r w:rsidR="00E02E7D">
        <w:rPr>
          <w:rFonts w:ascii="Sylfaen" w:hAnsi="Sylfaen"/>
          <w:b/>
          <w:sz w:val="24"/>
          <w:szCs w:val="24"/>
        </w:rPr>
        <w:t>14728</w:t>
      </w:r>
      <w:r w:rsidR="008824F8" w:rsidRPr="00E02E7D">
        <w:rPr>
          <w:rFonts w:ascii="Sylfaen" w:hAnsi="Sylfaen"/>
          <w:b/>
          <w:sz w:val="24"/>
          <w:szCs w:val="24"/>
        </w:rPr>
        <w:t>/</w:t>
      </w:r>
      <w:r w:rsidR="00F20785" w:rsidRPr="00E02E7D">
        <w:rPr>
          <w:rFonts w:ascii="Sylfaen" w:hAnsi="Sylfaen"/>
          <w:b/>
          <w:sz w:val="24"/>
          <w:szCs w:val="24"/>
        </w:rPr>
        <w:t>2018</w:t>
      </w:r>
      <w:r w:rsidR="008824F8" w:rsidRPr="00E02E7D">
        <w:rPr>
          <w:rFonts w:ascii="Sylfaen" w:hAnsi="Sylfaen"/>
          <w:b/>
          <w:sz w:val="24"/>
          <w:szCs w:val="24"/>
        </w:rPr>
        <w:t xml:space="preserve"> R.G.</w:t>
      </w:r>
    </w:p>
    <w:p w14:paraId="282FBE03" w14:textId="77777777" w:rsidR="00EE1A82" w:rsidRPr="00E02E7D" w:rsidRDefault="006F780F" w:rsidP="00EE1A82">
      <w:pPr>
        <w:spacing w:after="0" w:line="240" w:lineRule="auto"/>
        <w:ind w:firstLine="284"/>
        <w:jc w:val="center"/>
        <w:rPr>
          <w:rFonts w:ascii="Sylfaen" w:eastAsia="Times New Roman" w:hAnsi="Sylfaen"/>
          <w:b/>
          <w:sz w:val="24"/>
          <w:szCs w:val="24"/>
          <w:lang w:eastAsia="it-IT"/>
        </w:rPr>
      </w:pPr>
      <w:r w:rsidRPr="00E02E7D">
        <w:rPr>
          <w:rFonts w:ascii="Sylfaen" w:eastAsia="Times New Roman" w:hAnsi="Sylfae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 wp14:anchorId="3165125F" wp14:editId="0D7E8515">
            <wp:simplePos x="0" y="0"/>
            <wp:positionH relativeFrom="column">
              <wp:align>center</wp:align>
            </wp:positionH>
            <wp:positionV relativeFrom="paragraph">
              <wp:posOffset>80645</wp:posOffset>
            </wp:positionV>
            <wp:extent cx="564515" cy="628650"/>
            <wp:effectExtent l="0" t="0" r="0" b="0"/>
            <wp:wrapNone/>
            <wp:docPr id="2" name="Immagine 1" descr="emblema_gr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4D62" w14:textId="77777777" w:rsidR="00294CEA" w:rsidRPr="00E02E7D" w:rsidRDefault="00294CEA" w:rsidP="00294CEA">
      <w:pPr>
        <w:spacing w:after="0" w:line="360" w:lineRule="auto"/>
        <w:jc w:val="center"/>
        <w:rPr>
          <w:rFonts w:ascii="Sylfaen" w:eastAsia="Times New Roman" w:hAnsi="Sylfaen" w:cs="Arial"/>
          <w:b/>
          <w:sz w:val="24"/>
          <w:szCs w:val="24"/>
          <w:lang w:eastAsia="it-IT"/>
        </w:rPr>
      </w:pPr>
    </w:p>
    <w:p w14:paraId="763A8FB3" w14:textId="77777777" w:rsidR="00294CEA" w:rsidRPr="00E02E7D" w:rsidRDefault="00294CEA" w:rsidP="00294CEA">
      <w:pPr>
        <w:spacing w:after="0"/>
        <w:jc w:val="center"/>
        <w:rPr>
          <w:rFonts w:ascii="Sylfaen" w:eastAsia="Times New Roman" w:hAnsi="Sylfaen"/>
          <w:b/>
          <w:sz w:val="36"/>
          <w:szCs w:val="36"/>
          <w:lang w:eastAsia="it-IT"/>
        </w:rPr>
      </w:pPr>
    </w:p>
    <w:p w14:paraId="3FA7C3D5" w14:textId="77777777" w:rsidR="00294CEA" w:rsidRPr="00E02E7D" w:rsidRDefault="00294CEA" w:rsidP="00294CEA">
      <w:pPr>
        <w:spacing w:after="0"/>
        <w:jc w:val="center"/>
        <w:rPr>
          <w:rFonts w:ascii="Sylfaen" w:eastAsia="Times New Roman" w:hAnsi="Sylfaen"/>
          <w:b/>
          <w:sz w:val="36"/>
          <w:szCs w:val="36"/>
          <w:lang w:eastAsia="it-IT"/>
        </w:rPr>
      </w:pPr>
      <w:r w:rsidRPr="00E02E7D">
        <w:rPr>
          <w:rFonts w:ascii="Sylfaen" w:eastAsia="Times New Roman" w:hAnsi="Sylfaen"/>
          <w:b/>
          <w:sz w:val="36"/>
          <w:szCs w:val="36"/>
          <w:lang w:eastAsia="it-IT"/>
        </w:rPr>
        <w:t>TRIBUNALE DI PALERMO</w:t>
      </w:r>
    </w:p>
    <w:p w14:paraId="22109B52" w14:textId="77777777" w:rsidR="00294CEA" w:rsidRPr="00E02E7D" w:rsidRDefault="00294CEA" w:rsidP="00294CEA">
      <w:pPr>
        <w:spacing w:after="0"/>
        <w:jc w:val="center"/>
        <w:rPr>
          <w:rFonts w:ascii="Sylfaen" w:eastAsia="Times New Roman" w:hAnsi="Sylfaen"/>
          <w:b/>
          <w:sz w:val="32"/>
          <w:szCs w:val="32"/>
          <w:lang w:eastAsia="it-IT"/>
        </w:rPr>
      </w:pPr>
      <w:r w:rsidRPr="00E02E7D">
        <w:rPr>
          <w:rFonts w:ascii="Sylfaen" w:eastAsia="Times New Roman" w:hAnsi="Sylfaen"/>
          <w:b/>
          <w:sz w:val="32"/>
          <w:szCs w:val="32"/>
          <w:lang w:eastAsia="it-IT"/>
        </w:rPr>
        <w:t>Sezione Sesta Civile – Esecuzioni Immobiliari</w:t>
      </w:r>
    </w:p>
    <w:p w14:paraId="72236391" w14:textId="77777777" w:rsidR="00294CEA" w:rsidRPr="00E02E7D" w:rsidRDefault="00294CEA" w:rsidP="00294CEA">
      <w:pPr>
        <w:spacing w:after="0"/>
        <w:rPr>
          <w:rFonts w:ascii="Sylfaen" w:eastAsia="Times New Roman" w:hAnsi="Sylfaen"/>
          <w:b/>
          <w:sz w:val="32"/>
          <w:szCs w:val="32"/>
          <w:lang w:eastAsia="it-IT"/>
        </w:rPr>
      </w:pPr>
    </w:p>
    <w:p w14:paraId="52AF9627" w14:textId="77777777" w:rsidR="00294CEA" w:rsidRPr="00294CEA" w:rsidRDefault="00294CEA" w:rsidP="00294CEA">
      <w:pPr>
        <w:spacing w:after="0"/>
        <w:jc w:val="both"/>
        <w:rPr>
          <w:rFonts w:ascii="Sylfaen" w:eastAsia="Times New Roman" w:hAnsi="Sylfaen"/>
          <w:b/>
          <w:sz w:val="32"/>
          <w:szCs w:val="32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Il Tribunale di Palermo, sesta sezione civile, riunito in camera di consiglio, in persona dei magistrati:</w:t>
      </w:r>
    </w:p>
    <w:p w14:paraId="35204656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Dott.ssa Gabriella Di Marco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  <w:t>Presidente</w:t>
      </w:r>
    </w:p>
    <w:p w14:paraId="323727DC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Dott.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ssa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Valentina Imperiale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  <w:t xml:space="preserve">Giudice </w:t>
      </w:r>
      <w:r w:rsidR="00E02E7D" w:rsidRPr="00294CEA">
        <w:rPr>
          <w:rFonts w:ascii="Sylfaen" w:eastAsia="Times New Roman" w:hAnsi="Sylfaen"/>
          <w:sz w:val="24"/>
          <w:szCs w:val="24"/>
          <w:lang w:eastAsia="it-IT"/>
        </w:rPr>
        <w:t>rel. est.</w:t>
      </w:r>
    </w:p>
    <w:p w14:paraId="0900FBDE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Dott. Fabrizio Minutoli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</w:r>
      <w:r w:rsidRPr="00294CEA">
        <w:rPr>
          <w:rFonts w:ascii="Sylfaen" w:eastAsia="Times New Roman" w:hAnsi="Sylfaen"/>
          <w:sz w:val="24"/>
          <w:szCs w:val="24"/>
          <w:lang w:eastAsia="it-IT"/>
        </w:rPr>
        <w:tab/>
        <w:t xml:space="preserve">Giudice </w:t>
      </w:r>
    </w:p>
    <w:p w14:paraId="05CB1811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ha emesso la seguente</w:t>
      </w:r>
    </w:p>
    <w:p w14:paraId="5B67024A" w14:textId="77777777" w:rsidR="00294CEA" w:rsidRPr="00294CEA" w:rsidRDefault="00294CEA" w:rsidP="00294CEA">
      <w:pPr>
        <w:spacing w:after="0" w:line="360" w:lineRule="auto"/>
        <w:jc w:val="center"/>
        <w:rPr>
          <w:rFonts w:ascii="Sylfaen" w:eastAsia="Times New Roman" w:hAnsi="Sylfaen"/>
          <w:b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b/>
          <w:sz w:val="24"/>
          <w:szCs w:val="24"/>
          <w:lang w:eastAsia="it-IT"/>
        </w:rPr>
        <w:t>ORDINANZA</w:t>
      </w:r>
    </w:p>
    <w:p w14:paraId="19CFC0FA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sciogliendo la riserva assunta all’udienza del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21.12.2018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 nel procedimento di reclamo </w:t>
      </w:r>
      <w:r w:rsidRPr="00294CEA">
        <w:rPr>
          <w:rFonts w:ascii="Sylfaen" w:eastAsia="Times New Roman" w:hAnsi="Sylfaen"/>
          <w:i/>
          <w:sz w:val="24"/>
          <w:szCs w:val="24"/>
          <w:lang w:eastAsia="it-IT"/>
        </w:rPr>
        <w:t>ex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 artt. 624 e 669</w:t>
      </w:r>
      <w:r w:rsidRPr="00294CEA">
        <w:rPr>
          <w:rFonts w:ascii="Sylfaen" w:eastAsia="Times New Roman" w:hAnsi="Sylfaen"/>
          <w:i/>
          <w:sz w:val="24"/>
          <w:szCs w:val="24"/>
          <w:lang w:eastAsia="it-IT"/>
        </w:rPr>
        <w:t xml:space="preserve"> terdecies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 c.p.c., iscritto al n.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14728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/2018 R.G., proposto da 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>Casano Gaj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a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>, rappresentat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 xml:space="preserve">a 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>e difes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a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 da</w:t>
      </w:r>
      <w:r w:rsidR="00C4693B">
        <w:rPr>
          <w:rFonts w:ascii="Sylfaen" w:eastAsia="Times New Roman" w:hAnsi="Sylfaen"/>
          <w:sz w:val="24"/>
          <w:szCs w:val="24"/>
          <w:lang w:eastAsia="it-IT"/>
        </w:rPr>
        <w:t>ll’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avv.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Caterina D’Amato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, presso il cui studio </w:t>
      </w:r>
      <w:r w:rsidR="00C4693B" w:rsidRPr="00294CEA">
        <w:rPr>
          <w:rFonts w:ascii="Sylfaen" w:eastAsia="Times New Roman" w:hAnsi="Sylfaen"/>
          <w:sz w:val="24"/>
          <w:szCs w:val="24"/>
          <w:lang w:eastAsia="it-IT"/>
        </w:rPr>
        <w:t xml:space="preserve">in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 xml:space="preserve">Palermo, piazza G. Amendola n. 43, è 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>elettivament</w:t>
      </w:r>
      <w:r w:rsidR="00C4693B">
        <w:rPr>
          <w:rFonts w:ascii="Sylfaen" w:eastAsia="Times New Roman" w:hAnsi="Sylfaen"/>
          <w:sz w:val="24"/>
          <w:szCs w:val="24"/>
          <w:lang w:eastAsia="it-IT"/>
        </w:rPr>
        <w:t>e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 domiciliat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a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>,</w:t>
      </w:r>
    </w:p>
    <w:p w14:paraId="522B0678" w14:textId="77777777" w:rsidR="00294CEA" w:rsidRPr="00294CEA" w:rsidRDefault="00294CEA" w:rsidP="00294CEA">
      <w:pPr>
        <w:spacing w:after="0" w:line="360" w:lineRule="auto"/>
        <w:jc w:val="center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avverso</w:t>
      </w:r>
    </w:p>
    <w:p w14:paraId="57A406A7" w14:textId="676AF87E" w:rsidR="00294CEA" w:rsidRPr="00294CEA" w:rsidRDefault="00C4693B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l’ordinanza del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7 settembre 2018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con cui il Giudice dell’esecuzione, dott.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 xml:space="preserve"> Francesco Gallegra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, ha rigettato l’istanza di </w:t>
      </w:r>
      <w:r w:rsidR="00515867">
        <w:rPr>
          <w:rFonts w:ascii="Sylfaen" w:eastAsia="Times New Roman" w:hAnsi="Sylfaen"/>
          <w:sz w:val="24"/>
          <w:szCs w:val="24"/>
          <w:lang w:eastAsia="it-IT"/>
        </w:rPr>
        <w:t xml:space="preserve">sospensione e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 xml:space="preserve">revoca del provvedimento emesso in data 19.03.2018 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formulata da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ll’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odiern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a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reclamant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e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it-IT"/>
        </w:rPr>
        <w:t>in seno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it-IT"/>
        </w:rPr>
        <w:t>a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ll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’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opposizion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e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propost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a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, ai sensi degli artt. 61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7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c.p.c., </w:t>
      </w:r>
      <w:r>
        <w:rPr>
          <w:rFonts w:ascii="Sylfaen" w:eastAsia="Times New Roman" w:hAnsi="Sylfaen"/>
          <w:sz w:val="24"/>
          <w:szCs w:val="24"/>
          <w:lang w:eastAsia="it-IT"/>
        </w:rPr>
        <w:t>nell’ambito della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procedura esecutiva immobiliare n. 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263-3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/</w:t>
      </w:r>
      <w:r w:rsidR="00E02E7D">
        <w:rPr>
          <w:rFonts w:ascii="Sylfaen" w:eastAsia="Times New Roman" w:hAnsi="Sylfaen"/>
          <w:sz w:val="24"/>
          <w:szCs w:val="24"/>
          <w:lang w:eastAsia="it-IT"/>
        </w:rPr>
        <w:t>2013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R.G.Es.</w:t>
      </w:r>
      <w:r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4AA0256F" w14:textId="77777777" w:rsidR="00381711" w:rsidRDefault="00381711" w:rsidP="00381711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All’udienza del 9 novembre 2018 la reclamante chiede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>va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un termine per documentare la notifica del reclamo a tutte le parti. </w:t>
      </w:r>
    </w:p>
    <w:p w14:paraId="7CC8FB52" w14:textId="77777777" w:rsidR="00381711" w:rsidRDefault="00E02E7D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Con memoria </w:t>
      </w:r>
      <w:r w:rsidR="00C4693B">
        <w:rPr>
          <w:rFonts w:ascii="Sylfaen" w:eastAsia="Times New Roman" w:hAnsi="Sylfaen"/>
          <w:sz w:val="24"/>
          <w:szCs w:val="24"/>
          <w:lang w:eastAsia="it-IT"/>
        </w:rPr>
        <w:t>depositat</w:t>
      </w:r>
      <w:r>
        <w:rPr>
          <w:rFonts w:ascii="Sylfaen" w:eastAsia="Times New Roman" w:hAnsi="Sylfaen"/>
          <w:sz w:val="24"/>
          <w:szCs w:val="24"/>
          <w:lang w:eastAsia="it-IT"/>
        </w:rPr>
        <w:t>a</w:t>
      </w:r>
      <w:r w:rsidR="00C4693B">
        <w:rPr>
          <w:rFonts w:ascii="Sylfaen" w:eastAsia="Times New Roman" w:hAnsi="Sylfaen"/>
          <w:sz w:val="24"/>
          <w:szCs w:val="24"/>
          <w:lang w:eastAsia="it-IT"/>
        </w:rPr>
        <w:t xml:space="preserve"> in data 6 </w:t>
      </w:r>
      <w:r>
        <w:rPr>
          <w:rFonts w:ascii="Sylfaen" w:eastAsia="Times New Roman" w:hAnsi="Sylfaen"/>
          <w:sz w:val="24"/>
          <w:szCs w:val="24"/>
          <w:lang w:eastAsia="it-IT"/>
        </w:rPr>
        <w:t>dicembre</w:t>
      </w:r>
      <w:r w:rsidR="00C4693B">
        <w:rPr>
          <w:rFonts w:ascii="Sylfaen" w:eastAsia="Times New Roman" w:hAnsi="Sylfaen"/>
          <w:sz w:val="24"/>
          <w:szCs w:val="24"/>
          <w:lang w:eastAsia="it-IT"/>
        </w:rPr>
        <w:t xml:space="preserve"> 2018 s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i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costituiva il 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creditor</w:t>
      </w:r>
      <w:r>
        <w:rPr>
          <w:rFonts w:ascii="Sylfaen" w:eastAsia="Times New Roman" w:hAnsi="Sylfaen"/>
          <w:sz w:val="24"/>
          <w:szCs w:val="24"/>
          <w:lang w:eastAsia="it-IT"/>
        </w:rPr>
        <w:t>e procedente, Italfondiario s.p.a. n.q.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di procuratore di Penelope SPV s.r.l.. </w:t>
      </w:r>
    </w:p>
    <w:p w14:paraId="455E7D7D" w14:textId="77777777" w:rsidR="00C4693B" w:rsidRPr="00294CEA" w:rsidRDefault="00C75FD3" w:rsidP="00C4693B">
      <w:pPr>
        <w:spacing w:after="0" w:line="360" w:lineRule="auto"/>
        <w:jc w:val="center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FATTO</w:t>
      </w:r>
    </w:p>
    <w:p w14:paraId="5500F242" w14:textId="6156A80B" w:rsidR="00165620" w:rsidRDefault="00C4693B" w:rsidP="00AA301E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lastRenderedPageBreak/>
        <w:t>1. Giova premettere in punto di fatto che,</w:t>
      </w:r>
      <w:r w:rsidR="00381711" w:rsidRPr="00381711">
        <w:t xml:space="preserve"> 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>la reclamante, sig.ra Casano Gaja</w:t>
      </w:r>
      <w:r w:rsidR="00CD66AA">
        <w:rPr>
          <w:rFonts w:ascii="Sylfaen" w:eastAsia="Times New Roman" w:hAnsi="Sylfaen"/>
          <w:sz w:val="24"/>
          <w:szCs w:val="24"/>
          <w:lang w:eastAsia="it-IT"/>
        </w:rPr>
        <w:t>,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è creditore intervenuto nella procedura esecutiva n.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236/2013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promossa da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Italfondiario s.p.a.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nei confronti di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Bruno Marco Antonio Maria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ed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 xml:space="preserve"> avente ad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oggetto l’immobile sito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in Palermo, via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Quintino Sella n. 68. Tale immobile pignorato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è a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dibito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D86D0D">
        <w:rPr>
          <w:rFonts w:ascii="Sylfaen" w:eastAsia="Times New Roman" w:hAnsi="Sylfaen"/>
          <w:sz w:val="24"/>
          <w:szCs w:val="24"/>
          <w:lang w:eastAsia="it-IT"/>
        </w:rPr>
        <w:t>a residenza familiare de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 xml:space="preserve">ll’odierna 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reclamante,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già coniuge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>dell’e</w:t>
      </w:r>
      <w:r w:rsidR="00D86D0D">
        <w:rPr>
          <w:rFonts w:ascii="Sylfaen" w:eastAsia="Times New Roman" w:hAnsi="Sylfaen"/>
          <w:sz w:val="24"/>
          <w:szCs w:val="24"/>
          <w:lang w:eastAsia="it-IT"/>
        </w:rPr>
        <w:t>secutato, e de</w:t>
      </w:r>
      <w:r w:rsidR="00381711">
        <w:rPr>
          <w:rFonts w:ascii="Sylfaen" w:eastAsia="Times New Roman" w:hAnsi="Sylfaen"/>
          <w:sz w:val="24"/>
          <w:szCs w:val="24"/>
          <w:lang w:eastAsia="it-IT"/>
        </w:rPr>
        <w:t>lle figlie minori</w:t>
      </w:r>
      <w:r w:rsidR="00381711" w:rsidRPr="00381711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381711" w:rsidRPr="00AA301E">
        <w:rPr>
          <w:rFonts w:ascii="Sylfaen" w:eastAsia="Times New Roman" w:hAnsi="Sylfaen"/>
          <w:sz w:val="24"/>
          <w:szCs w:val="24"/>
          <w:lang w:eastAsia="it-IT"/>
        </w:rPr>
        <w:t xml:space="preserve">(giusta provvedimento di assegnazione </w:t>
      </w:r>
      <w:r w:rsidR="00D86D0D" w:rsidRPr="00AA301E">
        <w:rPr>
          <w:rFonts w:ascii="Sylfaen" w:eastAsia="Times New Roman" w:hAnsi="Sylfaen"/>
          <w:sz w:val="24"/>
          <w:szCs w:val="24"/>
          <w:lang w:eastAsia="it-IT"/>
        </w:rPr>
        <w:t>emesso dal Presidente del Tribunale di Palermo in data 17/05/2011 e trascritto il 24/05/2011</w:t>
      </w:r>
      <w:r w:rsidR="00AA301E">
        <w:rPr>
          <w:rFonts w:ascii="Sylfaen" w:eastAsia="Times New Roman" w:hAnsi="Sylfaen"/>
          <w:sz w:val="24"/>
          <w:szCs w:val="24"/>
          <w:lang w:eastAsia="it-IT"/>
        </w:rPr>
        <w:t>).</w:t>
      </w:r>
    </w:p>
    <w:p w14:paraId="205AC39E" w14:textId="762EA378" w:rsidR="003E03DF" w:rsidRDefault="00D86D0D" w:rsidP="00D86D0D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Pr="00381711">
        <w:rPr>
          <w:rFonts w:ascii="Sylfaen" w:eastAsia="Times New Roman" w:hAnsi="Sylfaen"/>
          <w:sz w:val="24"/>
          <w:szCs w:val="24"/>
          <w:lang w:eastAsia="it-IT"/>
        </w:rPr>
        <w:t>C</w:t>
      </w:r>
      <w:r>
        <w:rPr>
          <w:rFonts w:ascii="Sylfaen" w:eastAsia="Times New Roman" w:hAnsi="Sylfaen"/>
          <w:sz w:val="24"/>
          <w:szCs w:val="24"/>
          <w:lang w:eastAsia="it-IT"/>
        </w:rPr>
        <w:t>on istanza</w:t>
      </w:r>
      <w:r w:rsidR="00165620">
        <w:rPr>
          <w:rFonts w:ascii="Sylfaen" w:eastAsia="Times New Roman" w:hAnsi="Sylfaen"/>
          <w:sz w:val="24"/>
          <w:szCs w:val="24"/>
          <w:lang w:eastAsia="it-IT"/>
        </w:rPr>
        <w:t>, depositata in data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15/03/2018</w:t>
      </w:r>
      <w:r w:rsidR="00E0048E">
        <w:rPr>
          <w:rFonts w:ascii="Sylfaen" w:eastAsia="Times New Roman" w:hAnsi="Sylfaen"/>
          <w:sz w:val="24"/>
          <w:szCs w:val="24"/>
          <w:lang w:eastAsia="it-IT"/>
        </w:rPr>
        <w:t>, la</w:t>
      </w:r>
      <w:r w:rsidR="00E14864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reclamante </w:t>
      </w:r>
      <w:r w:rsidR="00165620">
        <w:rPr>
          <w:rFonts w:ascii="Sylfaen" w:eastAsia="Times New Roman" w:hAnsi="Sylfaen"/>
          <w:sz w:val="24"/>
          <w:szCs w:val="24"/>
          <w:lang w:eastAsia="it-IT"/>
        </w:rPr>
        <w:t xml:space="preserve">chiedeva al Giudice l’assegnazione del bene pignorato al prezzo </w:t>
      </w:r>
      <w:r w:rsidRPr="00381711">
        <w:rPr>
          <w:rFonts w:ascii="Sylfaen" w:eastAsia="Times New Roman" w:hAnsi="Sylfaen"/>
          <w:sz w:val="24"/>
          <w:szCs w:val="24"/>
          <w:lang w:eastAsia="it-IT"/>
        </w:rPr>
        <w:t>base d’asta</w:t>
      </w:r>
      <w:r w:rsidR="00165620">
        <w:rPr>
          <w:rFonts w:ascii="Sylfaen" w:eastAsia="Times New Roman" w:hAnsi="Sylfaen"/>
          <w:sz w:val="24"/>
          <w:szCs w:val="24"/>
          <w:lang w:eastAsia="it-IT"/>
        </w:rPr>
        <w:t xml:space="preserve"> fissato per il tentativo di vendita del 20.03.2018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e, segnatamente, pari a € 238.613,00</w:t>
      </w:r>
      <w:r w:rsidR="00165620">
        <w:rPr>
          <w:rFonts w:ascii="Sylfaen" w:eastAsia="Times New Roman" w:hAnsi="Sylfaen"/>
          <w:sz w:val="24"/>
          <w:szCs w:val="24"/>
          <w:lang w:eastAsia="it-IT"/>
        </w:rPr>
        <w:t>; l’istanza veniva dichiarata inammissibile, con il decreto del 18.03.2018, per tardività, atteso il mancato rispetto del temine fissato dall’art. 588 c.p.c.</w:t>
      </w:r>
    </w:p>
    <w:p w14:paraId="550F3E9E" w14:textId="2E82A7DC" w:rsidR="00733DAE" w:rsidRDefault="003E03DF" w:rsidP="005F1E69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Avverso il predetto decreto e la successiva aggiudicazione proponeva ricorso agli atti esecutivi </w:t>
      </w:r>
      <w:r w:rsidR="0019439C">
        <w:rPr>
          <w:rFonts w:ascii="Sylfaen" w:eastAsia="Times New Roman" w:hAnsi="Sylfaen"/>
          <w:sz w:val="24"/>
          <w:szCs w:val="24"/>
          <w:lang w:eastAsia="it-IT"/>
        </w:rPr>
        <w:t xml:space="preserve">ex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art. 617 comma 2, c.p.c. la cui domanda cautelare 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veniva </w:t>
      </w:r>
      <w:r>
        <w:rPr>
          <w:rFonts w:ascii="Sylfaen" w:eastAsia="Times New Roman" w:hAnsi="Sylfaen"/>
          <w:sz w:val="24"/>
          <w:szCs w:val="24"/>
          <w:lang w:eastAsia="it-IT"/>
        </w:rPr>
        <w:t>rigettata con ordinanza del 7.09.2018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44E21268" w14:textId="77777777" w:rsidR="005F1E69" w:rsidRDefault="00733DAE" w:rsidP="005F1E69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La predetta ordinanza veniva reclamata ded</w:t>
      </w:r>
      <w:r w:rsidR="002542EB">
        <w:rPr>
          <w:rFonts w:ascii="Sylfaen" w:eastAsia="Times New Roman" w:hAnsi="Sylfaen"/>
          <w:sz w:val="24"/>
          <w:szCs w:val="24"/>
          <w:lang w:eastAsia="it-IT"/>
        </w:rPr>
        <w:t>ucendo:</w:t>
      </w:r>
    </w:p>
    <w:p w14:paraId="2FE905E9" w14:textId="57B7E336" w:rsidR="005F1E69" w:rsidRDefault="005F1E69" w:rsidP="005F1E69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a) </w:t>
      </w:r>
      <w:r w:rsidR="002542EB">
        <w:rPr>
          <w:rFonts w:ascii="Sylfaen" w:eastAsia="Times New Roman" w:hAnsi="Sylfaen"/>
          <w:sz w:val="24"/>
          <w:szCs w:val="24"/>
          <w:lang w:eastAsia="it-IT"/>
        </w:rPr>
        <w:t>l’erroneità del provvedimento in ragione della natura non perentoria del termine di cui all’art. 588 c.p.c.</w:t>
      </w:r>
      <w:r w:rsidR="0019439C">
        <w:rPr>
          <w:rFonts w:ascii="Sylfaen" w:eastAsia="Times New Roman" w:hAnsi="Sylfaen"/>
          <w:sz w:val="24"/>
          <w:szCs w:val="24"/>
          <w:lang w:eastAsia="it-IT"/>
        </w:rPr>
        <w:t xml:space="preserve"> e la conseguente </w:t>
      </w:r>
      <w:r>
        <w:rPr>
          <w:rFonts w:ascii="Sylfaen" w:eastAsia="Times New Roman" w:hAnsi="Sylfaen"/>
          <w:sz w:val="24"/>
          <w:szCs w:val="24"/>
          <w:lang w:eastAsia="it-IT"/>
        </w:rPr>
        <w:t>ammissibilità</w:t>
      </w:r>
      <w:r w:rsidR="0019439C">
        <w:rPr>
          <w:rFonts w:ascii="Sylfaen" w:eastAsia="Times New Roman" w:hAnsi="Sylfaen"/>
          <w:sz w:val="24"/>
          <w:szCs w:val="24"/>
          <w:lang w:eastAsia="it-IT"/>
        </w:rPr>
        <w:t xml:space="preserve"> dell’istanza di assegnazione con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vendita ad un prezzo più alto dell’aggiudicazione avvenuta all’offerta minima efficace di euro 178.960,00</w:t>
      </w:r>
      <w:r w:rsidR="002542EB">
        <w:rPr>
          <w:rFonts w:ascii="Sylfaen" w:eastAsia="Times New Roman" w:hAnsi="Sylfaen"/>
          <w:sz w:val="24"/>
          <w:szCs w:val="24"/>
          <w:lang w:eastAsia="it-IT"/>
        </w:rPr>
        <w:t>;</w:t>
      </w:r>
    </w:p>
    <w:p w14:paraId="71C7C3C8" w14:textId="5A0571B5" w:rsidR="005F1E69" w:rsidRDefault="005F1E69" w:rsidP="005F1E69">
      <w:pPr>
        <w:spacing w:after="0" w:line="360" w:lineRule="auto"/>
        <w:jc w:val="both"/>
        <w:rPr>
          <w:rFonts w:ascii="Sylfaen" w:eastAsia="Times New Roman" w:hAnsi="Sylfaen"/>
          <w:i/>
          <w:iCs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b) </w:t>
      </w:r>
      <w:r w:rsidR="0019439C">
        <w:rPr>
          <w:rFonts w:ascii="Sylfaen" w:eastAsia="Times New Roman" w:hAnsi="Sylfaen"/>
          <w:sz w:val="24"/>
          <w:szCs w:val="24"/>
          <w:lang w:eastAsia="it-IT"/>
        </w:rPr>
        <w:t xml:space="preserve">in via subordinata, </w:t>
      </w:r>
      <w:r w:rsidRPr="005F1E69">
        <w:rPr>
          <w:rFonts w:ascii="Sylfaen" w:eastAsia="Times New Roman" w:hAnsi="Sylfaen"/>
          <w:sz w:val="24"/>
          <w:szCs w:val="24"/>
          <w:lang w:eastAsia="it-IT"/>
        </w:rPr>
        <w:t>l’irregolarità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sz w:val="24"/>
          <w:szCs w:val="24"/>
          <w:lang w:eastAsia="it-IT"/>
        </w:rPr>
        <w:t>dell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’intero procedimento di vendita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>per violazione dell’art. 591</w:t>
      </w:r>
      <w:r>
        <w:rPr>
          <w:rFonts w:ascii="Sylfaen" w:eastAsia="Times New Roman" w:hAnsi="Sylfaen"/>
          <w:sz w:val="24"/>
          <w:szCs w:val="24"/>
          <w:lang w:eastAsia="it-IT"/>
        </w:rPr>
        <w:t>, comma 2,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 c.p.c.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a tenore del quale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>“Il giudice può altresì</w:t>
      </w:r>
      <w:r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>stabilire diverse condizioni di vendita e diverse forme di pubblicità, fissando un prezzo</w:t>
      </w:r>
      <w:r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base inferiore al precedente fino al limite di un quarto e, </w:t>
      </w:r>
      <w:r w:rsidRPr="005F1E69">
        <w:rPr>
          <w:rFonts w:ascii="Sylfaen" w:eastAsia="Times New Roman" w:hAnsi="Sylfaen"/>
          <w:b/>
          <w:bCs/>
          <w:i/>
          <w:iCs/>
          <w:sz w:val="24"/>
          <w:szCs w:val="24"/>
          <w:lang w:eastAsia="it-IT"/>
        </w:rPr>
        <w:t>dopo il quarto tentativo di</w:t>
      </w:r>
      <w:r>
        <w:rPr>
          <w:rFonts w:ascii="Sylfaen" w:eastAsia="Times New Roman" w:hAnsi="Sylfaen"/>
          <w:b/>
          <w:bCs/>
          <w:i/>
          <w:iCs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b/>
          <w:bCs/>
          <w:i/>
          <w:iCs/>
          <w:sz w:val="24"/>
          <w:szCs w:val="24"/>
          <w:lang w:eastAsia="it-IT"/>
        </w:rPr>
        <w:t xml:space="preserve">vendita andato deserto, fino al limite della metà.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>Il giudice, se stabilisce nuove</w:t>
      </w:r>
      <w:r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>condizioni di vendita o fissa un nuovo prezzo, assegna altresì un nuovo termine non</w:t>
      </w:r>
      <w:r w:rsidR="0019439C"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inferiore a sessanta giorni, e </w:t>
      </w:r>
      <w:r w:rsidRPr="005F1E69">
        <w:rPr>
          <w:rFonts w:ascii="Sylfaen" w:eastAsia="Times New Roman" w:hAnsi="Sylfaen"/>
          <w:b/>
          <w:bCs/>
          <w:i/>
          <w:iCs/>
          <w:sz w:val="24"/>
          <w:szCs w:val="24"/>
          <w:lang w:eastAsia="it-IT"/>
        </w:rPr>
        <w:t>non superiore a novanta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>, entro il quale possono essere</w:t>
      </w:r>
      <w:r>
        <w:rPr>
          <w:rFonts w:ascii="Sylfaen" w:eastAsia="Times New Roman" w:hAnsi="Sylfaen"/>
          <w:i/>
          <w:iCs/>
          <w:sz w:val="24"/>
          <w:szCs w:val="24"/>
          <w:lang w:eastAsia="it-IT"/>
        </w:rPr>
        <w:t xml:space="preserve"> </w:t>
      </w:r>
      <w:r w:rsidRPr="005F1E69">
        <w:rPr>
          <w:rFonts w:ascii="Sylfaen" w:eastAsia="Times New Roman" w:hAnsi="Sylfaen"/>
          <w:i/>
          <w:iCs/>
          <w:sz w:val="24"/>
          <w:szCs w:val="24"/>
          <w:lang w:eastAsia="it-IT"/>
        </w:rPr>
        <w:t>proposte offerte d'acqui</w:t>
      </w:r>
      <w:r>
        <w:rPr>
          <w:rFonts w:ascii="Sylfaen" w:eastAsia="Times New Roman" w:hAnsi="Sylfaen"/>
          <w:i/>
          <w:iCs/>
          <w:sz w:val="24"/>
          <w:szCs w:val="24"/>
          <w:lang w:eastAsia="it-IT"/>
        </w:rPr>
        <w:t>sto ai sensi dell'articolo 571”;</w:t>
      </w:r>
    </w:p>
    <w:p w14:paraId="17AEB4F6" w14:textId="6DC133CE" w:rsidR="002542EB" w:rsidRPr="005F1E69" w:rsidRDefault="005F1E69" w:rsidP="005F1E69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c)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in via </w:t>
      </w:r>
      <w:r w:rsidR="0019439C">
        <w:rPr>
          <w:rFonts w:ascii="Sylfaen" w:eastAsia="Times New Roman" w:hAnsi="Sylfaen"/>
          <w:sz w:val="24"/>
          <w:szCs w:val="24"/>
          <w:lang w:eastAsia="it-IT"/>
        </w:rPr>
        <w:t xml:space="preserve">ulteriormente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subordina, l’illegittimità dell’intero procedimento di vendita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e, conseguentemente, la ricorrenza dei presupposti per l’operatività del potere – </w:t>
      </w:r>
      <w:r w:rsidR="00A6799B">
        <w:rPr>
          <w:rFonts w:ascii="Sylfaen" w:eastAsia="Times New Roman" w:hAnsi="Sylfaen"/>
          <w:i/>
          <w:sz w:val="24"/>
          <w:szCs w:val="24"/>
          <w:lang w:eastAsia="it-IT"/>
        </w:rPr>
        <w:t xml:space="preserve">ex officio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rimesso al G.E. – di sospensione della vendita quando ritiene che il prezzo offerto sia notevolmente inferiore a quello giusto (art. 586 c.p.c). </w:t>
      </w:r>
      <w:r w:rsidR="00713078">
        <w:rPr>
          <w:rFonts w:ascii="Sylfaen" w:eastAsia="Times New Roman" w:hAnsi="Sylfaen"/>
          <w:sz w:val="24"/>
          <w:szCs w:val="24"/>
          <w:lang w:eastAsia="it-IT"/>
        </w:rPr>
        <w:t>In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particolare, la reclamante deduceva che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il bene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era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lastRenderedPageBreak/>
        <w:t>stato posto in vendita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a seguito di una illegittima decurtazione dal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valore effettivo (pari ad euro  997.230,00)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A6799B" w:rsidRPr="005F1E69">
        <w:rPr>
          <w:rFonts w:ascii="Sylfaen" w:eastAsia="Times New Roman" w:hAnsi="Sylfaen"/>
          <w:sz w:val="24"/>
          <w:szCs w:val="24"/>
          <w:lang w:eastAsia="it-IT"/>
        </w:rPr>
        <w:t>al prezzo base d’asta di € 565.500,00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operata </w:t>
      </w:r>
      <w:r w:rsidR="00A6799B" w:rsidRPr="005F1E69">
        <w:rPr>
          <w:rFonts w:ascii="Sylfaen" w:eastAsia="Times New Roman" w:hAnsi="Sylfaen"/>
          <w:sz w:val="24"/>
          <w:szCs w:val="24"/>
          <w:lang w:eastAsia="it-IT"/>
        </w:rPr>
        <w:t>per tenere conto del provvedimento di assegnazione della casa familiare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. La rivalutazione al ribasso del cespite</w:t>
      </w:r>
      <w:r w:rsidR="00321DC7">
        <w:rPr>
          <w:rFonts w:ascii="Sylfaen" w:eastAsia="Times New Roman" w:hAnsi="Sylfaen"/>
          <w:sz w:val="24"/>
          <w:szCs w:val="24"/>
          <w:lang w:eastAsia="it-IT"/>
        </w:rPr>
        <w:t xml:space="preserve"> – alla stregua dei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criteri espressi nella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>relazione integrativa dell’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Esperto, Arch. Daniela Carollo</w:t>
      </w:r>
      <w:r w:rsidR="007C2227"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>del 6.05.2014</w:t>
      </w:r>
      <w:r w:rsidR="00321DC7">
        <w:rPr>
          <w:rFonts w:ascii="Sylfaen" w:eastAsia="Times New Roman" w:hAnsi="Sylfaen"/>
          <w:sz w:val="24"/>
          <w:szCs w:val="24"/>
          <w:lang w:eastAsia="it-IT"/>
        </w:rPr>
        <w:t xml:space="preserve"> -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risultava erroneamente applicata atteso il 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 xml:space="preserve">principio </w:t>
      </w:r>
      <w:r w:rsidR="00A6799B" w:rsidRPr="005F1E69">
        <w:rPr>
          <w:rFonts w:ascii="Sylfaen" w:eastAsia="Times New Roman" w:hAnsi="Sylfaen"/>
          <w:sz w:val="24"/>
          <w:szCs w:val="24"/>
          <w:lang w:eastAsia="it-IT"/>
        </w:rPr>
        <w:t>della non opponibilità del diritto di abi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tazione al creditore ipotecario (cfr. Cass. n. 7776/2016)</w:t>
      </w:r>
      <w:r w:rsidR="002542EB" w:rsidRPr="005F1E69">
        <w:rPr>
          <w:rFonts w:ascii="Sylfaen" w:eastAsia="Times New Roman" w:hAnsi="Sylfaen"/>
          <w:sz w:val="24"/>
          <w:szCs w:val="24"/>
          <w:lang w:eastAsia="it-IT"/>
        </w:rPr>
        <w:t>;</w:t>
      </w:r>
    </w:p>
    <w:p w14:paraId="24610B06" w14:textId="59720F98" w:rsidR="002542EB" w:rsidRDefault="005F1E69" w:rsidP="005F1E69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d) </w:t>
      </w:r>
      <w:r w:rsidR="002542EB">
        <w:rPr>
          <w:rFonts w:ascii="Sylfaen" w:eastAsia="Times New Roman" w:hAnsi="Sylfaen"/>
          <w:sz w:val="24"/>
          <w:szCs w:val="24"/>
          <w:lang w:eastAsia="it-IT"/>
        </w:rPr>
        <w:t>le condizioni di salute dell’occupante dell’immobile e del proprio nucleo familiare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(con particolare riferimento alle condizioni della </w:t>
      </w:r>
      <w:r w:rsidRPr="005F1E69">
        <w:rPr>
          <w:rFonts w:ascii="Sylfaen" w:eastAsia="Times New Roman" w:hAnsi="Sylfaen"/>
          <w:sz w:val="24"/>
          <w:szCs w:val="24"/>
          <w:lang w:eastAsia="it-IT"/>
        </w:rPr>
        <w:t>figlia Anna</w:t>
      </w:r>
      <w:r>
        <w:rPr>
          <w:rFonts w:ascii="Sylfaen" w:eastAsia="Times New Roman" w:hAnsi="Sylfaen"/>
          <w:sz w:val="24"/>
          <w:szCs w:val="24"/>
          <w:lang w:eastAsia="it-IT"/>
        </w:rPr>
        <w:t>, come da documentazione che produce</w:t>
      </w:r>
      <w:r w:rsidR="00226FD7">
        <w:rPr>
          <w:rFonts w:ascii="Sylfaen" w:eastAsia="Times New Roman" w:hAnsi="Sylfaen"/>
          <w:sz w:val="24"/>
          <w:szCs w:val="24"/>
          <w:lang w:eastAsia="it-IT"/>
        </w:rPr>
        <w:t>va</w:t>
      </w:r>
      <w:r>
        <w:rPr>
          <w:rFonts w:ascii="Sylfaen" w:eastAsia="Times New Roman" w:hAnsi="Sylfaen"/>
          <w:sz w:val="24"/>
          <w:szCs w:val="24"/>
          <w:lang w:eastAsia="it-IT"/>
        </w:rPr>
        <w:t>)</w:t>
      </w:r>
      <w:r w:rsidR="002542EB">
        <w:rPr>
          <w:rFonts w:ascii="Sylfaen" w:eastAsia="Times New Roman" w:hAnsi="Sylfaen"/>
          <w:sz w:val="24"/>
          <w:szCs w:val="24"/>
          <w:lang w:eastAsia="it-IT"/>
        </w:rPr>
        <w:t>;</w:t>
      </w:r>
    </w:p>
    <w:p w14:paraId="39F0ADDC" w14:textId="77777777" w:rsidR="00C75FD3" w:rsidRDefault="00C75FD3" w:rsidP="00C75FD3">
      <w:pPr>
        <w:spacing w:after="0" w:line="360" w:lineRule="auto"/>
        <w:jc w:val="center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MOTIVI DELLA DECISIONE</w:t>
      </w:r>
    </w:p>
    <w:p w14:paraId="614AB21A" w14:textId="77777777" w:rsidR="005F1E69" w:rsidRDefault="00F737A3" w:rsidP="005F1E69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1. </w:t>
      </w:r>
      <w:r w:rsidR="005F1E69" w:rsidRPr="005F1E69">
        <w:rPr>
          <w:rFonts w:ascii="Sylfaen" w:eastAsia="Times New Roman" w:hAnsi="Sylfaen"/>
          <w:sz w:val="24"/>
          <w:szCs w:val="24"/>
          <w:lang w:eastAsia="it-IT"/>
        </w:rPr>
        <w:t>Il reclamo non è fondato per i motivi che saranno di seguito illustrati e, conseguentemente, deve essere rigettato.</w:t>
      </w:r>
    </w:p>
    <w:p w14:paraId="099F7FD7" w14:textId="77777777" w:rsidR="00692FAC" w:rsidRDefault="00F737A3" w:rsidP="00376C65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1.1. 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Il primo motivo censurato, attenendo alla questione della </w:t>
      </w:r>
      <w:r w:rsidR="00FF34D0">
        <w:rPr>
          <w:rFonts w:ascii="Sylfaen" w:eastAsia="Times New Roman" w:hAnsi="Sylfaen"/>
          <w:sz w:val="24"/>
          <w:szCs w:val="24"/>
          <w:lang w:eastAsia="it-IT"/>
        </w:rPr>
        <w:t xml:space="preserve">ordinarietà 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o perentorietà </w:t>
      </w:r>
      <w:r w:rsidR="00FF34D0">
        <w:rPr>
          <w:rFonts w:ascii="Sylfaen" w:eastAsia="Times New Roman" w:hAnsi="Sylfaen"/>
          <w:sz w:val="24"/>
          <w:szCs w:val="24"/>
          <w:lang w:eastAsia="it-IT"/>
        </w:rPr>
        <w:t xml:space="preserve">del termine di cui all’art. 588 c.p.c. 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merita una preliminare disamina in ordine all’istituto della </w:t>
      </w:r>
      <w:r w:rsidR="009C459B" w:rsidRPr="009C459B">
        <w:rPr>
          <w:rFonts w:ascii="Sylfaen" w:eastAsia="Times New Roman" w:hAnsi="Sylfaen"/>
          <w:sz w:val="24"/>
          <w:szCs w:val="24"/>
          <w:lang w:eastAsia="it-IT"/>
        </w:rPr>
        <w:t xml:space="preserve">c.d. assegnazione 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del bene pignorato.  </w:t>
      </w:r>
    </w:p>
    <w:p w14:paraId="46F82044" w14:textId="77777777" w:rsidR="00376C65" w:rsidRDefault="009C459B" w:rsidP="00376C65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In</w:t>
      </w:r>
      <w:r w:rsidRPr="009C459B">
        <w:rPr>
          <w:rFonts w:ascii="Sylfaen" w:eastAsia="Times New Roman" w:hAnsi="Sylfaen"/>
          <w:sz w:val="24"/>
          <w:szCs w:val="24"/>
          <w:lang w:eastAsia="it-IT"/>
        </w:rPr>
        <w:t xml:space="preserve"> primo luogo, si è ritenuto che l’assegnazione non costituisce un mezzo di soddisfazione coattiva del credito </w:t>
      </w:r>
      <w:r w:rsidRPr="00C22D9F">
        <w:rPr>
          <w:rFonts w:ascii="Sylfaen" w:eastAsia="Times New Roman" w:hAnsi="Sylfaen"/>
          <w:i/>
          <w:sz w:val="24"/>
          <w:szCs w:val="24"/>
          <w:lang w:eastAsia="it-IT"/>
        </w:rPr>
        <w:t>alternativo</w:t>
      </w:r>
      <w:r w:rsidRPr="009C459B">
        <w:rPr>
          <w:rFonts w:ascii="Sylfaen" w:eastAsia="Times New Roman" w:hAnsi="Sylfaen"/>
          <w:sz w:val="24"/>
          <w:szCs w:val="24"/>
          <w:lang w:eastAsia="it-IT"/>
        </w:rPr>
        <w:t xml:space="preserve"> rispetto alla vendita forzata, bensì </w:t>
      </w:r>
      <w:r w:rsidRPr="00C22D9F">
        <w:rPr>
          <w:rFonts w:ascii="Sylfaen" w:eastAsia="Times New Roman" w:hAnsi="Sylfaen"/>
          <w:i/>
          <w:sz w:val="24"/>
          <w:szCs w:val="24"/>
          <w:lang w:eastAsia="it-IT"/>
        </w:rPr>
        <w:t>successivamente</w:t>
      </w:r>
      <w:r w:rsidRPr="009C459B">
        <w:rPr>
          <w:rFonts w:ascii="Sylfaen" w:eastAsia="Times New Roman" w:hAnsi="Sylfaen"/>
          <w:sz w:val="24"/>
          <w:szCs w:val="24"/>
          <w:lang w:eastAsia="it-IT"/>
        </w:rPr>
        <w:t xml:space="preserve"> concorrente con quest'ultimo, nel senso che i creditori possono accedervi solo dopo che sia tentata, con esito negativo, la vendita (</w:t>
      </w:r>
      <w:r>
        <w:rPr>
          <w:rFonts w:ascii="Sylfaen" w:eastAsia="Times New Roman" w:hAnsi="Sylfaen"/>
          <w:sz w:val="24"/>
          <w:szCs w:val="24"/>
          <w:lang w:eastAsia="it-IT"/>
        </w:rPr>
        <w:t>cfr. Cass. 16799/2008)</w:t>
      </w:r>
      <w:r w:rsidR="00376C65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37FA9D48" w14:textId="5FE0D2DB" w:rsidR="00733DAE" w:rsidRDefault="00733DAE" w:rsidP="00376C65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In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oltre, nel caso di più creditori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occorre altresì precisare che, ai fini dell’ammissibilità dell’istanza di assegnazione, il creditore/assegnatario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deve, con la sua offerta, s</w:t>
      </w:r>
      <w:r>
        <w:rPr>
          <w:rFonts w:ascii="Sylfaen" w:eastAsia="Times New Roman" w:hAnsi="Sylfaen"/>
          <w:sz w:val="24"/>
          <w:szCs w:val="24"/>
          <w:lang w:eastAsia="it-IT"/>
        </w:rPr>
        <w:t>oddisfare i crediti dei creditori con privilegio</w:t>
      </w:r>
      <w:r w:rsidR="00CB59E6">
        <w:rPr>
          <w:rFonts w:ascii="Sylfaen" w:eastAsia="Times New Roman" w:hAnsi="Sylfaen"/>
          <w:sz w:val="24"/>
          <w:szCs w:val="24"/>
          <w:lang w:eastAsia="it-IT"/>
        </w:rPr>
        <w:t xml:space="preserve"> (nel caso di specie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30679E">
        <w:rPr>
          <w:rFonts w:ascii="Sylfaen" w:eastAsia="Times New Roman" w:hAnsi="Sylfaen"/>
          <w:sz w:val="24"/>
          <w:szCs w:val="24"/>
          <w:lang w:eastAsia="it-IT"/>
        </w:rPr>
        <w:t xml:space="preserve">del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procedente, Italfondiario n.q.,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che </w:t>
      </w:r>
      <w:r w:rsidR="006A7487">
        <w:rPr>
          <w:rFonts w:ascii="Sylfaen" w:eastAsia="Times New Roman" w:hAnsi="Sylfaen"/>
          <w:sz w:val="24"/>
          <w:szCs w:val="24"/>
          <w:lang w:eastAsia="it-IT"/>
        </w:rPr>
        <w:t xml:space="preserve">nella gradazione dei crediti, trova prioritaria allocazione in ragione dell’antecedente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iscrizione ipotecaria </w:t>
      </w:r>
      <w:r w:rsidR="0030679E">
        <w:rPr>
          <w:rFonts w:ascii="Sylfaen" w:eastAsia="Times New Roman" w:hAnsi="Sylfaen"/>
          <w:sz w:val="24"/>
          <w:szCs w:val="24"/>
          <w:lang w:eastAsia="it-IT"/>
        </w:rPr>
        <w:t>rispetto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30679E">
        <w:rPr>
          <w:rFonts w:ascii="Sylfaen" w:eastAsia="Times New Roman" w:hAnsi="Sylfaen"/>
          <w:sz w:val="24"/>
          <w:szCs w:val="24"/>
          <w:lang w:eastAsia="it-IT"/>
        </w:rPr>
        <w:t>al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titolo dell’intervenuta</w:t>
      </w:r>
      <w:r w:rsidR="00CB59E6">
        <w:rPr>
          <w:rFonts w:ascii="Sylfaen" w:eastAsia="Times New Roman" w:hAnsi="Sylfaen"/>
          <w:sz w:val="24"/>
          <w:szCs w:val="24"/>
          <w:lang w:eastAsia="it-IT"/>
        </w:rPr>
        <w:t>)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nonché le spese di procedura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24709F10" w14:textId="7531459C" w:rsidR="00733DAE" w:rsidRDefault="00376C65" w:rsidP="00FF34D0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Ciò premesso, occorre dar conto 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>che, in ordine alla natura del termine per la presentazione dell’istanza di assegnazione, non si registra una unanimità di vedute</w:t>
      </w:r>
      <w:r w:rsidR="00F828D7">
        <w:rPr>
          <w:rFonts w:ascii="Sylfaen" w:eastAsia="Times New Roman" w:hAnsi="Sylfaen"/>
          <w:sz w:val="24"/>
          <w:szCs w:val="24"/>
          <w:lang w:eastAsia="it-IT"/>
        </w:rPr>
        <w:t xml:space="preserve"> in dottrina e giurisprudenza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>. Invero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,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 a fronte di una tesi che 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>– nell’ottica di una tendenziale equiparazione della “</w:t>
      </w:r>
      <w:r w:rsidR="00692FAC">
        <w:rPr>
          <w:rFonts w:ascii="Sylfaen" w:eastAsia="Times New Roman" w:hAnsi="Sylfaen"/>
          <w:i/>
          <w:sz w:val="24"/>
          <w:szCs w:val="24"/>
          <w:lang w:eastAsia="it-IT"/>
        </w:rPr>
        <w:t>istanza di assegnazione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>” alla “</w:t>
      </w:r>
      <w:r w:rsidR="00692FAC">
        <w:rPr>
          <w:rFonts w:ascii="Sylfaen" w:eastAsia="Times New Roman" w:hAnsi="Sylfaen"/>
          <w:i/>
          <w:sz w:val="24"/>
          <w:szCs w:val="24"/>
          <w:lang w:eastAsia="it-IT"/>
        </w:rPr>
        <w:t>offerta di acquisto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>” –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 privilegia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la </w:t>
      </w:r>
      <w:r>
        <w:rPr>
          <w:rFonts w:ascii="Sylfaen" w:eastAsia="Times New Roman" w:hAnsi="Sylfaen"/>
          <w:sz w:val="24"/>
          <w:szCs w:val="24"/>
          <w:lang w:eastAsia="it-IT"/>
        </w:rPr>
        <w:t>non perentorietà del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 termine di cui </w:t>
      </w:r>
      <w:r>
        <w:rPr>
          <w:rFonts w:ascii="Sylfaen" w:eastAsia="Times New Roman" w:hAnsi="Sylfaen"/>
          <w:sz w:val="24"/>
          <w:szCs w:val="24"/>
          <w:lang w:eastAsia="it-IT"/>
        </w:rPr>
        <w:t>all’art. 588 c.p.c</w:t>
      </w:r>
      <w:r w:rsidR="00011F32"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si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sviluppa anche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 un differente indirizzo interpretativo che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lastRenderedPageBreak/>
        <w:t>valorizza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 la natura perentoria del 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>termine co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n conseguente 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decadenza 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 xml:space="preserve">del potere da parte del creditore istante di depositare 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 xml:space="preserve">istanza di </w:t>
      </w:r>
      <w:r w:rsidR="00692FAC">
        <w:rPr>
          <w:rFonts w:ascii="Sylfaen" w:eastAsia="Times New Roman" w:hAnsi="Sylfaen"/>
          <w:sz w:val="24"/>
          <w:szCs w:val="24"/>
          <w:lang w:eastAsia="it-IT"/>
        </w:rPr>
        <w:t>assegnazione tardiva</w:t>
      </w:r>
      <w:r w:rsidR="00733DAE"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0F92DC5E" w14:textId="77777777" w:rsidR="006E507A" w:rsidRDefault="00692FAC" w:rsidP="00FF34D0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Gli indirizzi sopra richiamati, ove va, pertanto, collocato anche il precedente giurisprudenziale invocato in seno al reclamo (cfr. Cass. n. 8857/2011),  si sono sviluppati con riferimento al quadro normativo antecedente alle riforme di cui al d.l. n. 83/2015 e d.l. </w:t>
      </w:r>
      <w:r w:rsidR="006E507A">
        <w:rPr>
          <w:rFonts w:ascii="Sylfaen" w:eastAsia="Times New Roman" w:hAnsi="Sylfaen"/>
          <w:sz w:val="24"/>
          <w:szCs w:val="24"/>
          <w:lang w:eastAsia="it-IT"/>
        </w:rPr>
        <w:t xml:space="preserve">59/2016 (e segnatamente, quando l’istituto trovava applicazione residuale, presupponendo l’infruttuoso esito della vendita </w:t>
      </w:r>
      <w:r w:rsidR="006E507A">
        <w:rPr>
          <w:rFonts w:ascii="Sylfaen" w:eastAsia="Times New Roman" w:hAnsi="Sylfaen"/>
          <w:i/>
          <w:sz w:val="24"/>
          <w:szCs w:val="24"/>
          <w:lang w:eastAsia="it-IT"/>
        </w:rPr>
        <w:t>con incanto</w:t>
      </w:r>
      <w:r w:rsidR="006E507A">
        <w:rPr>
          <w:rFonts w:ascii="Sylfaen" w:eastAsia="Times New Roman" w:hAnsi="Sylfaen"/>
          <w:sz w:val="24"/>
          <w:szCs w:val="24"/>
          <w:lang w:eastAsia="it-IT"/>
        </w:rPr>
        <w:t>).</w:t>
      </w:r>
    </w:p>
    <w:p w14:paraId="101CB46E" w14:textId="49EBF4A0" w:rsidR="004420ED" w:rsidRDefault="00692FAC" w:rsidP="009279C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6E507A">
        <w:rPr>
          <w:rFonts w:ascii="Sylfaen" w:eastAsia="Times New Roman" w:hAnsi="Sylfaen"/>
          <w:sz w:val="24"/>
          <w:szCs w:val="24"/>
          <w:lang w:eastAsia="it-IT"/>
        </w:rPr>
        <w:t xml:space="preserve">Tali recenti riforme,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>però</w:t>
      </w:r>
      <w:r w:rsidR="006E507A"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 xml:space="preserve">oltre ad avere esteso la portata applicativa dell’istituto anche al caso, come quello che ci occupa, della </w:t>
      </w:r>
      <w:r w:rsidR="009279CF">
        <w:rPr>
          <w:rFonts w:ascii="Sylfaen" w:eastAsia="Times New Roman" w:hAnsi="Sylfaen"/>
          <w:i/>
          <w:sz w:val="24"/>
          <w:szCs w:val="24"/>
          <w:lang w:eastAsia="it-IT"/>
        </w:rPr>
        <w:t>vendita senza incanto</w:t>
      </w:r>
      <w:r w:rsidR="004420ED">
        <w:rPr>
          <w:rFonts w:ascii="Sylfaen" w:eastAsia="Times New Roman" w:hAnsi="Sylfaen"/>
          <w:sz w:val="24"/>
          <w:szCs w:val="24"/>
          <w:lang w:eastAsia="it-IT"/>
        </w:rPr>
        <w:t>, hanno inciso – estendendone la portata – sulla funzione dell’istituto dell’assegnazione</w:t>
      </w:r>
      <w:r w:rsidR="009E083E">
        <w:rPr>
          <w:rFonts w:ascii="Sylfaen" w:eastAsia="Times New Roman" w:hAnsi="Sylfaen"/>
          <w:sz w:val="24"/>
          <w:szCs w:val="24"/>
          <w:lang w:eastAsia="it-IT"/>
        </w:rPr>
        <w:t xml:space="preserve"> (e non solo).</w:t>
      </w:r>
    </w:p>
    <w:p w14:paraId="4D2448D2" w14:textId="13404617" w:rsidR="006B1601" w:rsidRDefault="006B1601" w:rsidP="009279C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Resta, conseguentemente, da chiedersi se le modifiche appena richiamate, nella misura in cui abbiano inciso sulla 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ratio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dell’istituto, possano valere anche quali chiavi di lettura nella individuazione della natura 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ordinatoria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o 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perentoria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del termine. </w:t>
      </w:r>
    </w:p>
    <w:p w14:paraId="6C6FA93F" w14:textId="007A94E6" w:rsidR="004420ED" w:rsidRDefault="004420ED" w:rsidP="009279C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A tal proposito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,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occorre immediatamente </w:t>
      </w:r>
      <w:r w:rsidR="00ED4C33">
        <w:rPr>
          <w:rFonts w:ascii="Sylfaen" w:eastAsia="Times New Roman" w:hAnsi="Sylfaen"/>
          <w:sz w:val="24"/>
          <w:szCs w:val="24"/>
          <w:lang w:eastAsia="it-IT"/>
        </w:rPr>
        <w:t>sgom</w:t>
      </w:r>
      <w:r w:rsidR="00722EF0">
        <w:rPr>
          <w:rFonts w:ascii="Sylfaen" w:eastAsia="Times New Roman" w:hAnsi="Sylfaen"/>
          <w:sz w:val="24"/>
          <w:szCs w:val="24"/>
          <w:lang w:eastAsia="it-IT"/>
        </w:rPr>
        <w:t>berare il campo dall’assunto che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la perentorietà</w:t>
      </w:r>
      <w:r w:rsidR="00D40907">
        <w:rPr>
          <w:rFonts w:ascii="Sylfaen" w:eastAsia="Times New Roman" w:hAnsi="Sylfaen"/>
          <w:sz w:val="24"/>
          <w:szCs w:val="24"/>
          <w:lang w:eastAsia="it-IT"/>
        </w:rPr>
        <w:t xml:space="preserve"> del termine debba escludersi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in assenza di esplicita qualificazione legislat</w:t>
      </w:r>
      <w:r w:rsidR="00A6799B">
        <w:rPr>
          <w:rFonts w:ascii="Sylfaen" w:eastAsia="Times New Roman" w:hAnsi="Sylfaen"/>
          <w:sz w:val="24"/>
          <w:szCs w:val="24"/>
          <w:lang w:eastAsia="it-IT"/>
        </w:rPr>
        <w:t>iva.</w:t>
      </w:r>
    </w:p>
    <w:p w14:paraId="12BCC47C" w14:textId="11578695" w:rsidR="007F57A5" w:rsidRDefault="004420ED" w:rsidP="00A6799B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Infatti</w:t>
      </w:r>
      <w:r w:rsidR="00D40907">
        <w:rPr>
          <w:rFonts w:ascii="Sylfaen" w:eastAsia="Times New Roman" w:hAnsi="Sylfaen"/>
          <w:sz w:val="24"/>
          <w:szCs w:val="24"/>
          <w:lang w:eastAsia="it-IT"/>
        </w:rPr>
        <w:t>,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tale obiezione risulta </w:t>
      </w:r>
      <w:r w:rsidR="00D40907">
        <w:rPr>
          <w:rFonts w:ascii="Sylfaen" w:eastAsia="Times New Roman" w:hAnsi="Sylfaen"/>
          <w:sz w:val="24"/>
          <w:szCs w:val="24"/>
          <w:lang w:eastAsia="it-IT"/>
        </w:rPr>
        <w:t>facilmente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superata dall’elaborazione giurisprudenziale condotta dalle Sezioni Unite, le quali hanno avuto modo di precisare </w:t>
      </w:r>
      <w:r w:rsidR="00655267">
        <w:rPr>
          <w:rFonts w:ascii="Sylfaen" w:eastAsia="Times New Roman" w:hAnsi="Sylfaen"/>
          <w:sz w:val="24"/>
          <w:szCs w:val="24"/>
          <w:lang w:eastAsia="it-IT"/>
        </w:rPr>
        <w:t xml:space="preserve">- 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 xml:space="preserve">valorizzando indirizzi già espressi in altre pronunce </w:t>
      </w:r>
      <w:r w:rsidR="007F57A5" w:rsidRPr="007F57A5">
        <w:rPr>
          <w:rFonts w:ascii="Sylfaen" w:eastAsia="Times New Roman" w:hAnsi="Sylfaen"/>
          <w:sz w:val="24"/>
          <w:szCs w:val="24"/>
          <w:lang w:eastAsia="it-IT"/>
        </w:rPr>
        <w:t>(Cass. 8 febbraio 2006 n. 2787; 5 marzo 2004 n. 4530 tra le altre)</w:t>
      </w:r>
      <w:r w:rsidR="00655267">
        <w:rPr>
          <w:rFonts w:ascii="Sylfaen" w:eastAsia="Times New Roman" w:hAnsi="Sylfaen"/>
          <w:sz w:val="24"/>
          <w:szCs w:val="24"/>
          <w:lang w:eastAsia="it-IT"/>
        </w:rPr>
        <w:t xml:space="preserve"> – che, 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 xml:space="preserve">anche laddove il legislatore non abbia provveduto a qualificare il termine </w:t>
      </w:r>
      <w:r w:rsidR="007F57A5" w:rsidRPr="007F57A5">
        <w:rPr>
          <w:rFonts w:ascii="Sylfaen" w:eastAsia="Times New Roman" w:hAnsi="Sylfaen"/>
          <w:sz w:val="24"/>
          <w:szCs w:val="24"/>
          <w:lang w:eastAsia="it-IT"/>
        </w:rPr>
        <w:t>come perentorio o d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>a osservare a pena di decadenza,</w:t>
      </w:r>
      <w:r w:rsidR="007F57A5" w:rsidRPr="007F57A5">
        <w:rPr>
          <w:rFonts w:ascii="Sylfaen" w:eastAsia="Times New Roman" w:hAnsi="Sylfaen"/>
          <w:sz w:val="24"/>
          <w:szCs w:val="24"/>
          <w:lang w:eastAsia="it-IT"/>
        </w:rPr>
        <w:t xml:space="preserve"> la natura perentoria del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>lo stesso possa</w:t>
      </w:r>
      <w:r w:rsidR="007F57A5" w:rsidRPr="007F57A5">
        <w:rPr>
          <w:rFonts w:ascii="Sylfaen" w:eastAsia="Times New Roman" w:hAnsi="Sylfaen"/>
          <w:sz w:val="24"/>
          <w:szCs w:val="24"/>
          <w:lang w:eastAsia="it-IT"/>
        </w:rPr>
        <w:t xml:space="preserve"> essere tratta dalla sua funzione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 xml:space="preserve">, ammettendo, quindi, che </w:t>
      </w:r>
      <w:r w:rsidR="007F57A5" w:rsidRPr="007F57A5">
        <w:rPr>
          <w:rFonts w:ascii="Sylfaen" w:eastAsia="Times New Roman" w:hAnsi="Sylfaen"/>
          <w:sz w:val="24"/>
          <w:szCs w:val="24"/>
          <w:lang w:eastAsia="it-IT"/>
        </w:rPr>
        <w:t>il termine può essere perentorio anche in assenza di una sua esplicita qualificazione in tal senso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 xml:space="preserve">  </w:t>
      </w:r>
      <w:r>
        <w:rPr>
          <w:rFonts w:ascii="Sylfaen" w:eastAsia="Times New Roman" w:hAnsi="Sylfaen"/>
          <w:sz w:val="24"/>
          <w:szCs w:val="24"/>
          <w:lang w:eastAsia="it-IT"/>
        </w:rPr>
        <w:t>(cfr. Cass. S.U. n. 262/2010)</w:t>
      </w:r>
      <w:r w:rsidR="007F57A5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6ECA806B" w14:textId="36968254" w:rsidR="00E773CE" w:rsidRDefault="000A4CB9" w:rsidP="00E773CE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Ora, tornando al caso di specie, </w:t>
      </w:r>
      <w:r w:rsidR="0077623C">
        <w:rPr>
          <w:rFonts w:ascii="Sylfaen" w:eastAsia="Times New Roman" w:hAnsi="Sylfaen"/>
          <w:sz w:val="24"/>
          <w:szCs w:val="24"/>
          <w:lang w:eastAsia="it-IT"/>
        </w:rPr>
        <w:t>l</w:t>
      </w:r>
      <w:r w:rsidR="00F156AB">
        <w:rPr>
          <w:rFonts w:ascii="Sylfaen" w:eastAsia="Times New Roman" w:hAnsi="Sylfaen"/>
          <w:sz w:val="24"/>
          <w:szCs w:val="24"/>
          <w:lang w:eastAsia="it-IT"/>
        </w:rPr>
        <w:t>’interpretazione sistematica delle norme</w:t>
      </w:r>
      <w:r w:rsidR="00CD66AA">
        <w:rPr>
          <w:rFonts w:ascii="Sylfaen" w:eastAsia="Times New Roman" w:hAnsi="Sylfaen"/>
          <w:sz w:val="24"/>
          <w:szCs w:val="24"/>
          <w:lang w:eastAsia="it-IT"/>
        </w:rPr>
        <w:t xml:space="preserve"> e l’assunto della eterogeneità dell’istanza di assegnazione rispetto all’offerta di acquisto (per mancanza di cauzione e di irrevocabilità)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62653E">
        <w:rPr>
          <w:rFonts w:ascii="Sylfaen" w:eastAsia="Times New Roman" w:hAnsi="Sylfaen"/>
          <w:sz w:val="24"/>
          <w:szCs w:val="24"/>
          <w:lang w:eastAsia="it-IT"/>
        </w:rPr>
        <w:t>porta a ritenere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 che il termine a 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ritroso </w:t>
      </w:r>
      <w:r>
        <w:rPr>
          <w:rFonts w:ascii="Sylfaen" w:eastAsia="Times New Roman" w:hAnsi="Sylfaen"/>
          <w:sz w:val="24"/>
          <w:szCs w:val="24"/>
          <w:lang w:eastAsia="it-IT"/>
        </w:rPr>
        <w:t>rispetto alla vendita del cespite pignorato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 </w:t>
      </w:r>
      <w:r>
        <w:rPr>
          <w:rFonts w:ascii="Sylfaen" w:eastAsia="Times New Roman" w:hAnsi="Sylfaen"/>
          <w:sz w:val="24"/>
          <w:szCs w:val="24"/>
          <w:lang w:eastAsia="it-IT"/>
        </w:rPr>
        <w:t>(</w:t>
      </w:r>
      <w:r w:rsidRPr="000A4CB9">
        <w:rPr>
          <w:rFonts w:ascii="Sylfaen" w:eastAsia="Times New Roman" w:hAnsi="Sylfaen"/>
          <w:i/>
          <w:sz w:val="24"/>
          <w:szCs w:val="24"/>
          <w:lang w:eastAsia="it-IT"/>
        </w:rPr>
        <w:t>nel termine di dieci giorni prima della data dell'udienza fissata per la vendita</w:t>
      </w:r>
      <w:r>
        <w:rPr>
          <w:rFonts w:ascii="Sylfaen" w:eastAsia="Times New Roman" w:hAnsi="Sylfaen"/>
          <w:sz w:val="24"/>
          <w:szCs w:val="24"/>
          <w:lang w:eastAsia="it-IT"/>
        </w:rPr>
        <w:t>)</w:t>
      </w:r>
      <w:r w:rsidRPr="000A4CB9">
        <w:rPr>
          <w:rFonts w:ascii="Sylfaen" w:eastAsia="Times New Roman" w:hAnsi="Sylfaen"/>
          <w:sz w:val="24"/>
          <w:szCs w:val="24"/>
          <w:lang w:eastAsia="it-IT"/>
        </w:rPr>
        <w:t>,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persegua la f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>unzione di render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e l’istanza di assegnazione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 xml:space="preserve">conoscibile alla platea dei possibili e </w:t>
      </w:r>
      <w:r w:rsidR="009279CF">
        <w:rPr>
          <w:rFonts w:ascii="Sylfaen" w:eastAsia="Times New Roman" w:hAnsi="Sylfaen"/>
          <w:i/>
          <w:sz w:val="24"/>
          <w:szCs w:val="24"/>
          <w:lang w:eastAsia="it-IT"/>
        </w:rPr>
        <w:t xml:space="preserve">successivi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 xml:space="preserve">offerenti per evitare la lesione del diritto – normativamente sancito dall’art. </w:t>
      </w:r>
      <w:r w:rsidR="00E773CE">
        <w:rPr>
          <w:rFonts w:ascii="Sylfaen" w:eastAsia="Times New Roman" w:hAnsi="Sylfaen"/>
          <w:sz w:val="24"/>
          <w:szCs w:val="24"/>
          <w:lang w:eastAsia="it-IT"/>
        </w:rPr>
        <w:t xml:space="preserve">572, comma 3, c.p.c.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 xml:space="preserve">– dell’offerente che voglia presentare una offerta </w:t>
      </w:r>
      <w:r w:rsidR="009279CF">
        <w:rPr>
          <w:rFonts w:ascii="Sylfaen" w:eastAsia="Times New Roman" w:hAnsi="Sylfaen"/>
          <w:i/>
          <w:sz w:val="24"/>
          <w:szCs w:val="24"/>
          <w:lang w:eastAsia="it-IT"/>
        </w:rPr>
        <w:t xml:space="preserve">inferiore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t xml:space="preserve">al prezzo base </w:t>
      </w:r>
      <w:r w:rsidR="009279CF">
        <w:rPr>
          <w:rFonts w:ascii="Sylfaen" w:eastAsia="Times New Roman" w:hAnsi="Sylfaen"/>
          <w:sz w:val="24"/>
          <w:szCs w:val="24"/>
          <w:lang w:eastAsia="it-IT"/>
        </w:rPr>
        <w:lastRenderedPageBreak/>
        <w:t xml:space="preserve">determinato dall’art. 568 c.p.c. o al prezzo ribassato a seguito dei successivi esperimenti di vendita. </w:t>
      </w:r>
    </w:p>
    <w:p w14:paraId="69AD6BA0" w14:textId="77777777" w:rsidR="00E773CE" w:rsidRDefault="00E773CE" w:rsidP="00E773CE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Il deposito anticipato dell’istanza di assegnazione 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lascerebbe, infatti,</w:t>
      </w:r>
      <w:r w:rsidR="00047D8D">
        <w:rPr>
          <w:rFonts w:ascii="Sylfaen" w:eastAsia="Times New Roman" w:hAnsi="Sylfaen"/>
          <w:sz w:val="24"/>
          <w:szCs w:val="24"/>
          <w:lang w:eastAsia="it-IT"/>
        </w:rPr>
        <w:t xml:space="preserve"> impregiudicato il diritto dell’eventuale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presentatore dell’offerta minima </w:t>
      </w:r>
      <w:r w:rsidR="00047D8D">
        <w:rPr>
          <w:rFonts w:ascii="Sylfaen" w:eastAsia="Times New Roman" w:hAnsi="Sylfaen"/>
          <w:sz w:val="24"/>
          <w:szCs w:val="24"/>
          <w:lang w:eastAsia="it-IT"/>
        </w:rPr>
        <w:t>di partecipare nella consapevolezza di una mancata aggiudicazione, consent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endogli, altresì, </w:t>
      </w:r>
      <w:r w:rsidR="00047D8D">
        <w:rPr>
          <w:rFonts w:ascii="Sylfaen" w:eastAsia="Times New Roman" w:hAnsi="Sylfaen"/>
          <w:sz w:val="24"/>
          <w:szCs w:val="24"/>
          <w:lang w:eastAsia="it-IT"/>
        </w:rPr>
        <w:t xml:space="preserve">di valutare – con effetto benefico per la procedura esecutiva – anche la presentazione di un’offerta pari o superiore – pure di poco – al prezzo base in funzione della già depositata istanza di assegnazione. </w:t>
      </w:r>
    </w:p>
    <w:p w14:paraId="3D06C28D" w14:textId="77777777" w:rsidR="000F5595" w:rsidRDefault="00047D8D" w:rsidP="009279C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Conseguentemente, il Tribunale ritiene che l’istanza di assegnazione depositata dalla sig.ra Casano a soli cinque – in luogo dei dieci – giorni prima dell’esperimento di vendita sia stata correttamente qualificata inammissibile dal Giudice dell’Esecuzione per tardività. </w:t>
      </w:r>
    </w:p>
    <w:p w14:paraId="47626481" w14:textId="77777777" w:rsidR="00C52D56" w:rsidRDefault="00047D8D" w:rsidP="009279C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Inoltre, privilegiando la tesi, ad avviso del Collegio maggiormente aderente alla 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ratio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della previsione normativa, della perentorietà del termine di cui all’art. 588 c.p.c. </w:t>
      </w:r>
      <w:r w:rsidR="00C52D56">
        <w:rPr>
          <w:rFonts w:ascii="Sylfaen" w:eastAsia="Times New Roman" w:hAnsi="Sylfaen"/>
          <w:sz w:val="24"/>
          <w:szCs w:val="24"/>
          <w:lang w:eastAsia="it-IT"/>
        </w:rPr>
        <w:t xml:space="preserve">è da escludere una proroga, anche tempestivamente richiesta, del suddetto termine a ritroso. </w:t>
      </w:r>
    </w:p>
    <w:p w14:paraId="24B67511" w14:textId="77777777" w:rsidR="00C52D56" w:rsidRDefault="00C52D56" w:rsidP="00ED0F8C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Le considerazioni sopra esposte 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confermano l’in</w:t>
      </w:r>
      <w:r>
        <w:rPr>
          <w:rFonts w:ascii="Sylfaen" w:eastAsia="Times New Roman" w:hAnsi="Sylfaen"/>
          <w:sz w:val="24"/>
          <w:szCs w:val="24"/>
          <w:lang w:eastAsia="it-IT"/>
        </w:rPr>
        <w:t>fondatezza del motivo di reclamo prospettato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06B5DC9B" w14:textId="575321C9" w:rsidR="00FF34D0" w:rsidRDefault="00C52D56" w:rsidP="00C52D56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Peraltro 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>non va trascurato che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nel caso di specie, 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la reclamante non risulta avere contestualmente 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>indica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>to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 il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 xml:space="preserve"> nocumento </w:t>
      </w:r>
      <w:r w:rsidR="00F737A3" w:rsidRPr="00F737A3">
        <w:rPr>
          <w:rFonts w:ascii="Sylfaen" w:eastAsia="Times New Roman" w:hAnsi="Sylfaen"/>
          <w:i/>
          <w:sz w:val="24"/>
          <w:szCs w:val="24"/>
          <w:lang w:eastAsia="it-IT"/>
        </w:rPr>
        <w:t>sostanziale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 xml:space="preserve"> arrecato</w:t>
      </w:r>
      <w:r w:rsidR="007B18B1">
        <w:rPr>
          <w:rFonts w:ascii="Sylfaen" w:eastAsia="Times New Roman" w:hAnsi="Sylfaen"/>
          <w:sz w:val="24"/>
          <w:szCs w:val="24"/>
          <w:lang w:eastAsia="it-IT"/>
        </w:rPr>
        <w:t>le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né </w:t>
      </w:r>
      <w:r>
        <w:rPr>
          <w:rFonts w:ascii="Sylfaen" w:eastAsia="Times New Roman" w:hAnsi="Sylfaen"/>
          <w:sz w:val="24"/>
          <w:szCs w:val="24"/>
          <w:lang w:eastAsia="it-IT"/>
        </w:rPr>
        <w:t>la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 xml:space="preserve"> prova del </w:t>
      </w:r>
      <w:r w:rsidR="00F737A3" w:rsidRPr="00F737A3">
        <w:rPr>
          <w:rFonts w:ascii="Sylfaen" w:eastAsia="Times New Roman" w:hAnsi="Sylfaen"/>
          <w:i/>
          <w:sz w:val="24"/>
          <w:szCs w:val="24"/>
          <w:lang w:eastAsia="it-IT"/>
        </w:rPr>
        <w:t>concreto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 xml:space="preserve"> ed </w:t>
      </w:r>
      <w:r w:rsidR="00F737A3" w:rsidRPr="00F737A3">
        <w:rPr>
          <w:rFonts w:ascii="Sylfaen" w:eastAsia="Times New Roman" w:hAnsi="Sylfaen"/>
          <w:i/>
          <w:sz w:val="24"/>
          <w:szCs w:val="24"/>
          <w:lang w:eastAsia="it-IT"/>
        </w:rPr>
        <w:t>attuale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 xml:space="preserve"> pregiudizio derivante all’opponente 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– reclamante </w:t>
      </w:r>
      <w:r w:rsidR="00F737A3" w:rsidRPr="00F737A3">
        <w:rPr>
          <w:rFonts w:ascii="Sylfaen" w:eastAsia="Times New Roman" w:hAnsi="Sylfaen"/>
          <w:sz w:val="24"/>
          <w:szCs w:val="24"/>
          <w:lang w:eastAsia="it-IT"/>
        </w:rPr>
        <w:t>(in proposito, si rimanda a Cass., 25.1.2012, n. 1029, Cass., 13.5.2014, n. 10327, Cass., 16.5.2014, n. 1084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1, e Cass., 30.1.2018, n. 2294), soprattutto ove si consideri che alla 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stessa era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 consentito</w:t>
      </w:r>
      <w:r w:rsidR="00FF34D0">
        <w:rPr>
          <w:rFonts w:ascii="Sylfaen" w:eastAsia="Times New Roman" w:hAnsi="Sylfaen"/>
          <w:sz w:val="24"/>
          <w:szCs w:val="24"/>
          <w:lang w:eastAsia="it-IT"/>
        </w:rPr>
        <w:t xml:space="preserve">, non 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trattandosi di </w:t>
      </w:r>
      <w:r w:rsidR="00FF34D0">
        <w:rPr>
          <w:rFonts w:ascii="Sylfaen" w:eastAsia="Times New Roman" w:hAnsi="Sylfaen"/>
          <w:sz w:val="24"/>
          <w:szCs w:val="24"/>
          <w:lang w:eastAsia="it-IT"/>
        </w:rPr>
        <w:t>debit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>or</w:t>
      </w:r>
      <w:r w:rsidR="00FF34D0">
        <w:rPr>
          <w:rFonts w:ascii="Sylfaen" w:eastAsia="Times New Roman" w:hAnsi="Sylfaen"/>
          <w:sz w:val="24"/>
          <w:szCs w:val="24"/>
          <w:lang w:eastAsia="it-IT"/>
        </w:rPr>
        <w:t>e esecutat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o, di partecipare come </w:t>
      </w:r>
      <w:r w:rsidR="00F737A3" w:rsidRPr="00CD66AA">
        <w:rPr>
          <w:rFonts w:ascii="Sylfaen" w:eastAsia="Times New Roman" w:hAnsi="Sylfaen"/>
          <w:i/>
          <w:sz w:val="24"/>
          <w:szCs w:val="24"/>
          <w:lang w:eastAsia="it-IT"/>
        </w:rPr>
        <w:t xml:space="preserve">offerente 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>al procedimento di vendita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,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 anche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 presentando una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 xml:space="preserve"> offerta di acquisto minima (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>seppure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 accompagnata dal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 xml:space="preserve"> versamento del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la cauzione)</w:t>
      </w:r>
      <w:r w:rsidR="00F737A3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09DCC81B" w14:textId="2B43F2DD" w:rsidR="00311DBF" w:rsidRDefault="00F737A3" w:rsidP="005F1E69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1.2.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 xml:space="preserve">Con riferimento alle censure afferenti all’irregolarità ed illegittimità del procedimento di vendita, prospettate in via subordinata, 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>occorre procedere ad esaminare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 xml:space="preserve">, con priorità quella 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>di cui alla lettera c)</w:t>
      </w:r>
      <w:r w:rsidR="003B6A5F">
        <w:rPr>
          <w:rFonts w:ascii="Sylfaen" w:eastAsia="Times New Roman" w:hAnsi="Sylfaen"/>
          <w:sz w:val="24"/>
          <w:szCs w:val="24"/>
          <w:lang w:eastAsia="it-IT"/>
        </w:rPr>
        <w:t>, la quale</w:t>
      </w:r>
      <w:r w:rsidR="00C640DD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3B6A5F">
        <w:rPr>
          <w:rFonts w:ascii="Sylfaen" w:eastAsia="Times New Roman" w:hAnsi="Sylfaen"/>
          <w:sz w:val="24"/>
          <w:szCs w:val="24"/>
          <w:lang w:eastAsia="it-IT"/>
        </w:rPr>
        <w:t xml:space="preserve">attiene ad una questione di natura preliminare e 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>assorbente ris</w:t>
      </w:r>
      <w:r w:rsidR="003B6A5F">
        <w:rPr>
          <w:rFonts w:ascii="Sylfaen" w:eastAsia="Times New Roman" w:hAnsi="Sylfaen"/>
          <w:sz w:val="24"/>
          <w:szCs w:val="24"/>
          <w:lang w:eastAsia="it-IT"/>
        </w:rPr>
        <w:t>p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>etto a</w:t>
      </w:r>
      <w:r w:rsidR="003B6A5F">
        <w:rPr>
          <w:rFonts w:ascii="Sylfaen" w:eastAsia="Times New Roman" w:hAnsi="Sylfaen"/>
          <w:sz w:val="24"/>
          <w:szCs w:val="24"/>
          <w:lang w:eastAsia="it-IT"/>
        </w:rPr>
        <w:t xml:space="preserve">gli altri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>vizi denunciati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 xml:space="preserve"> (lettere </w:t>
      </w:r>
      <w:r w:rsidR="00302B9B" w:rsidRPr="00302B9B">
        <w:rPr>
          <w:rFonts w:ascii="Sylfaen" w:eastAsia="Times New Roman" w:hAnsi="Sylfaen"/>
          <w:i/>
          <w:sz w:val="24"/>
          <w:szCs w:val="24"/>
          <w:lang w:eastAsia="it-IT"/>
        </w:rPr>
        <w:t>b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 xml:space="preserve"> e </w:t>
      </w:r>
      <w:r w:rsidR="00302B9B" w:rsidRPr="00302B9B">
        <w:rPr>
          <w:rFonts w:ascii="Sylfaen" w:eastAsia="Times New Roman" w:hAnsi="Sylfaen"/>
          <w:i/>
          <w:sz w:val="24"/>
          <w:szCs w:val="24"/>
          <w:lang w:eastAsia="it-IT"/>
        </w:rPr>
        <w:t>d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>)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75F56436" w14:textId="243CBF6D" w:rsidR="000F5595" w:rsidRDefault="00BA3DBB" w:rsidP="005F1E69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Esclusa ogni valutazione in ordine alla </w:t>
      </w:r>
      <w:r w:rsidRPr="00BA3DBB">
        <w:rPr>
          <w:rFonts w:ascii="Sylfaen" w:eastAsia="Times New Roman" w:hAnsi="Sylfaen"/>
          <w:sz w:val="24"/>
          <w:szCs w:val="24"/>
          <w:lang w:eastAsia="it-IT"/>
        </w:rPr>
        <w:t>incompatibilità tra la domanda principale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(che presuppone la piena validità del procedimento di vendita ai fini dell’accoglimento della domanda di assegnazione)</w:t>
      </w:r>
      <w:r w:rsidRPr="00BA3DBB">
        <w:rPr>
          <w:rFonts w:ascii="Sylfaen" w:eastAsia="Times New Roman" w:hAnsi="Sylfaen"/>
          <w:sz w:val="24"/>
          <w:szCs w:val="24"/>
          <w:lang w:eastAsia="it-IT"/>
        </w:rPr>
        <w:t xml:space="preserve"> e quell</w:t>
      </w:r>
      <w:r>
        <w:rPr>
          <w:rFonts w:ascii="Sylfaen" w:eastAsia="Times New Roman" w:hAnsi="Sylfaen"/>
          <w:sz w:val="24"/>
          <w:szCs w:val="24"/>
          <w:lang w:eastAsia="it-IT"/>
        </w:rPr>
        <w:t>e</w:t>
      </w:r>
      <w:r w:rsidRPr="00BA3DBB">
        <w:rPr>
          <w:rFonts w:ascii="Sylfaen" w:eastAsia="Times New Roman" w:hAnsi="Sylfaen"/>
          <w:sz w:val="24"/>
          <w:szCs w:val="24"/>
          <w:lang w:eastAsia="it-IT"/>
        </w:rPr>
        <w:t xml:space="preserve"> subordinat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 xml:space="preserve">e - sulle quali, quindi,  potrebbero sorgere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dubbi </w:t>
      </w:r>
      <w:r>
        <w:rPr>
          <w:rFonts w:ascii="Sylfaen" w:eastAsia="Times New Roman" w:hAnsi="Sylfaen"/>
          <w:sz w:val="24"/>
          <w:szCs w:val="24"/>
          <w:lang w:eastAsia="it-IT"/>
        </w:rPr>
        <w:lastRenderedPageBreak/>
        <w:t>in ordine alla proponibili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>tà nel medesimo atto -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 xml:space="preserve">giova subito premettere che </w:t>
      </w:r>
      <w:r w:rsidR="003B6A5F">
        <w:rPr>
          <w:rFonts w:ascii="Sylfaen" w:eastAsia="Times New Roman" w:hAnsi="Sylfaen"/>
          <w:sz w:val="24"/>
          <w:szCs w:val="24"/>
          <w:lang w:eastAsia="it-IT"/>
        </w:rPr>
        <w:t xml:space="preserve">la censura </w:t>
      </w:r>
      <w:r w:rsidR="005A074D">
        <w:rPr>
          <w:rFonts w:ascii="Sylfaen" w:eastAsia="Times New Roman" w:hAnsi="Sylfaen"/>
          <w:sz w:val="24"/>
          <w:szCs w:val="24"/>
          <w:lang w:eastAsia="it-IT"/>
        </w:rPr>
        <w:t>-</w:t>
      </w:r>
      <w:r w:rsidR="00C776E9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5A074D">
        <w:rPr>
          <w:rFonts w:ascii="Sylfaen" w:eastAsia="Times New Roman" w:hAnsi="Sylfaen"/>
          <w:sz w:val="24"/>
          <w:szCs w:val="24"/>
          <w:lang w:eastAsia="it-IT"/>
        </w:rPr>
        <w:t xml:space="preserve">in un giudizio prognostico da compiersi in tale sede </w:t>
      </w:r>
      <w:r w:rsidR="00073B9E">
        <w:rPr>
          <w:rFonts w:ascii="Sylfaen" w:eastAsia="Times New Roman" w:hAnsi="Sylfaen"/>
          <w:sz w:val="24"/>
          <w:szCs w:val="24"/>
          <w:lang w:eastAsia="it-IT"/>
        </w:rPr>
        <w:t xml:space="preserve">- </w:t>
      </w:r>
      <w:r w:rsidR="003B6A5F">
        <w:rPr>
          <w:rFonts w:ascii="Sylfaen" w:eastAsia="Times New Roman" w:hAnsi="Sylfaen"/>
          <w:sz w:val="24"/>
          <w:szCs w:val="24"/>
          <w:lang w:eastAsia="it-IT"/>
        </w:rPr>
        <w:t>non supera il vaglio di rilevanza ed ammissibilità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73F394BF" w14:textId="4EEF379A" w:rsidR="000F5595" w:rsidRDefault="004F08F1" w:rsidP="000F5595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Infatti, preme rilevare che, se da un lato, occorre dare conto dell’evoluzione giurisprudenziale riportata dalla reclamante (Cass.</w:t>
      </w:r>
      <w:r w:rsidR="00073B9E">
        <w:rPr>
          <w:rFonts w:ascii="Sylfaen" w:eastAsia="Times New Roman" w:hAnsi="Sylfaen"/>
          <w:sz w:val="24"/>
          <w:szCs w:val="24"/>
          <w:lang w:eastAsia="it-IT"/>
        </w:rPr>
        <w:t xml:space="preserve"> n.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7776/2016), a tenore del</w:t>
      </w:r>
      <w:r w:rsidR="005442B9">
        <w:rPr>
          <w:rFonts w:ascii="Sylfaen" w:eastAsia="Times New Roman" w:hAnsi="Sylfaen"/>
          <w:sz w:val="24"/>
          <w:szCs w:val="24"/>
          <w:lang w:eastAsia="it-IT"/>
        </w:rPr>
        <w:t xml:space="preserve"> quale, </w:t>
      </w:r>
      <w:r>
        <w:rPr>
          <w:rFonts w:ascii="Sylfaen" w:eastAsia="Times New Roman" w:hAnsi="Sylfaen"/>
          <w:sz w:val="24"/>
          <w:szCs w:val="24"/>
          <w:lang w:eastAsia="it-IT"/>
        </w:rPr>
        <w:t>i</w:t>
      </w:r>
      <w:r w:rsidRPr="007C2AA3">
        <w:rPr>
          <w:rFonts w:ascii="Sylfaen" w:eastAsia="Times New Roman" w:hAnsi="Sylfaen"/>
          <w:sz w:val="24"/>
          <w:szCs w:val="24"/>
          <w:lang w:eastAsia="it-IT"/>
        </w:rPr>
        <w:t>n materia di assegnazione della casa familiare, l'art. 155 quater c.c. (applicabile "</w:t>
      </w:r>
      <w:r w:rsidRPr="007C2AA3">
        <w:rPr>
          <w:rFonts w:ascii="Sylfaen" w:eastAsia="Times New Roman" w:hAnsi="Sylfaen"/>
          <w:i/>
          <w:sz w:val="24"/>
          <w:szCs w:val="24"/>
          <w:lang w:eastAsia="it-IT"/>
        </w:rPr>
        <w:t>ratione temporis</w:t>
      </w:r>
      <w:r w:rsidRPr="007C2AA3">
        <w:rPr>
          <w:rFonts w:ascii="Sylfaen" w:eastAsia="Times New Roman" w:hAnsi="Sylfaen"/>
          <w:sz w:val="24"/>
          <w:szCs w:val="24"/>
          <w:lang w:eastAsia="it-IT"/>
        </w:rPr>
        <w:t>"), laddove prevede che "</w:t>
      </w:r>
      <w:r w:rsidRPr="007C2AA3">
        <w:rPr>
          <w:rFonts w:ascii="Sylfaen" w:eastAsia="Times New Roman" w:hAnsi="Sylfaen"/>
          <w:i/>
          <w:sz w:val="24"/>
          <w:szCs w:val="24"/>
          <w:lang w:eastAsia="it-IT"/>
        </w:rPr>
        <w:t>il provvedimento di assegnazione e quello di revoca sono trascrivibili e opponibili a terzi ai sensi dell'art. 2643</w:t>
      </w:r>
      <w:r w:rsidRPr="007C2AA3">
        <w:rPr>
          <w:rFonts w:ascii="Sylfaen" w:eastAsia="Times New Roman" w:hAnsi="Sylfaen"/>
          <w:sz w:val="24"/>
          <w:szCs w:val="24"/>
          <w:lang w:eastAsia="it-IT"/>
        </w:rPr>
        <w:t xml:space="preserve">" c.c., va interpretato nel senso che entrambi non hanno effetto riguardo al creditore ipotecario che abbia acquistato il suo diritto sull'immobile in base ad un atto </w:t>
      </w:r>
      <w:r w:rsidRPr="007C2AA3">
        <w:rPr>
          <w:rFonts w:ascii="Sylfaen" w:eastAsia="Times New Roman" w:hAnsi="Sylfaen"/>
          <w:i/>
          <w:sz w:val="24"/>
          <w:szCs w:val="24"/>
          <w:lang w:eastAsia="it-IT"/>
        </w:rPr>
        <w:t xml:space="preserve">iscritto anteriormente </w:t>
      </w:r>
      <w:r w:rsidRPr="007C2AA3">
        <w:rPr>
          <w:rFonts w:ascii="Sylfaen" w:eastAsia="Times New Roman" w:hAnsi="Sylfaen"/>
          <w:sz w:val="24"/>
          <w:szCs w:val="24"/>
          <w:lang w:eastAsia="it-IT"/>
        </w:rPr>
        <w:t>alla trascrizione del provvedimento di assegnazione, il quale perciò può far vendere coatt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>ivamente l'immobile come libero; d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’altro canto, però, 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le doglianze prospettate si risolvono in osservazioni alla relazione di stima integrativa dell’Esperto depositata in data 6.05.2014 e, come tali, </w:t>
      </w:r>
      <w:r w:rsidR="000F5595" w:rsidRPr="003B6A5F">
        <w:rPr>
          <w:rFonts w:ascii="Sylfaen" w:eastAsia="Times New Roman" w:hAnsi="Sylfaen"/>
          <w:sz w:val="24"/>
          <w:szCs w:val="24"/>
          <w:lang w:eastAsia="it-IT"/>
        </w:rPr>
        <w:t xml:space="preserve">sono tardive, 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ai sensi dell’articolo 173 bis dd.aa. c.p.c., </w:t>
      </w:r>
      <w:r>
        <w:rPr>
          <w:rFonts w:ascii="Sylfaen" w:eastAsia="Times New Roman" w:hAnsi="Sylfaen"/>
          <w:sz w:val="24"/>
          <w:szCs w:val="24"/>
          <w:lang w:eastAsia="it-IT"/>
        </w:rPr>
        <w:t>in quanto non rilevate ed eccepite nel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 xml:space="preserve">l’udienza </w:t>
      </w:r>
      <w:r>
        <w:rPr>
          <w:rFonts w:ascii="Sylfaen" w:eastAsia="Times New Roman" w:hAnsi="Sylfaen"/>
          <w:sz w:val="24"/>
          <w:szCs w:val="24"/>
          <w:lang w:eastAsia="it-IT"/>
        </w:rPr>
        <w:t>fissata ai sensi dell</w:t>
      </w:r>
      <w:r w:rsidR="000F5595">
        <w:rPr>
          <w:rFonts w:ascii="Sylfaen" w:eastAsia="Times New Roman" w:hAnsi="Sylfaen"/>
          <w:sz w:val="24"/>
          <w:szCs w:val="24"/>
          <w:lang w:eastAsia="it-IT"/>
        </w:rPr>
        <w:t>’articolo 569 c.p.c.</w:t>
      </w:r>
    </w:p>
    <w:p w14:paraId="629E4F95" w14:textId="2E0FC7EC" w:rsidR="00DA6901" w:rsidRPr="003B6A5F" w:rsidRDefault="00DA6901" w:rsidP="00DA6901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3B6A5F">
        <w:rPr>
          <w:rFonts w:ascii="Sylfaen" w:eastAsia="Times New Roman" w:hAnsi="Sylfaen"/>
          <w:sz w:val="24"/>
          <w:szCs w:val="24"/>
          <w:lang w:eastAsia="it-IT"/>
        </w:rPr>
        <w:t>Ed anche a volere accedere alla tesi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Pr="003B6A5F">
        <w:rPr>
          <w:rFonts w:ascii="Sylfaen" w:eastAsia="Times New Roman" w:hAnsi="Sylfaen"/>
          <w:sz w:val="24"/>
          <w:szCs w:val="24"/>
          <w:lang w:eastAsia="it-IT"/>
        </w:rPr>
        <w:t xml:space="preserve">che </w:t>
      </w:r>
      <w:r>
        <w:rPr>
          <w:rFonts w:ascii="Sylfaen" w:eastAsia="Times New Roman" w:hAnsi="Sylfaen"/>
          <w:sz w:val="24"/>
          <w:szCs w:val="24"/>
          <w:lang w:eastAsia="it-IT"/>
        </w:rPr>
        <w:t>la reclamante abbia</w:t>
      </w:r>
      <w:r w:rsidRPr="003B6A5F">
        <w:rPr>
          <w:rFonts w:ascii="Sylfaen" w:eastAsia="Times New Roman" w:hAnsi="Sylfaen"/>
          <w:sz w:val="24"/>
          <w:szCs w:val="24"/>
          <w:lang w:eastAsia="it-IT"/>
        </w:rPr>
        <w:t xml:space="preserve"> avuto conoscenza dei fatti idonei a determinare la illegittimità del procedimento di vendita soltanto in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seguito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all’udienza </w:t>
      </w:r>
      <w:r w:rsidR="00302B9B">
        <w:rPr>
          <w:rFonts w:ascii="Sylfaen" w:eastAsia="Times New Roman" w:hAnsi="Sylfaen"/>
          <w:sz w:val="24"/>
          <w:szCs w:val="24"/>
          <w:lang w:eastAsia="it-IT"/>
        </w:rPr>
        <w:t xml:space="preserve">per disporre la delega delle operazioni di vendita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>e, segnatamente, solo dopo il consolidarsi dell’indirizzo ermeneutico sopra richiamat</w:t>
      </w:r>
      <w:r w:rsidR="006C5C61">
        <w:rPr>
          <w:rFonts w:ascii="Sylfaen" w:eastAsia="Times New Roman" w:hAnsi="Sylfaen"/>
          <w:sz w:val="24"/>
          <w:szCs w:val="24"/>
          <w:lang w:eastAsia="it-IT"/>
        </w:rPr>
        <w:t>o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ne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>conseguirebbe</w:t>
      </w:r>
      <w:r w:rsidRPr="003B6A5F">
        <w:rPr>
          <w:rFonts w:ascii="Sylfaen" w:eastAsia="Times New Roman" w:hAnsi="Sylfaen"/>
          <w:sz w:val="24"/>
          <w:szCs w:val="24"/>
          <w:lang w:eastAsia="it-IT"/>
        </w:rPr>
        <w:t>, in ogni caso, la tardività del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>la censura</w:t>
      </w:r>
      <w:r w:rsidR="00B96D48">
        <w:rPr>
          <w:rFonts w:ascii="Sylfaen" w:eastAsia="Times New Roman" w:hAnsi="Sylfaen"/>
          <w:sz w:val="24"/>
          <w:szCs w:val="24"/>
          <w:lang w:eastAsia="it-IT"/>
        </w:rPr>
        <w:t xml:space="preserve"> eccepita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a distanza di oltre due anni e, nonostante, siano nelle more intercorsi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 xml:space="preserve">molteplici </w:t>
      </w:r>
      <w:r>
        <w:rPr>
          <w:rFonts w:ascii="Sylfaen" w:eastAsia="Times New Roman" w:hAnsi="Sylfaen"/>
          <w:sz w:val="24"/>
          <w:szCs w:val="24"/>
          <w:lang w:eastAsia="it-IT"/>
        </w:rPr>
        <w:t>esperimenti di vendita</w:t>
      </w:r>
      <w:r w:rsidR="00B96D48">
        <w:rPr>
          <w:rFonts w:ascii="Sylfaen" w:eastAsia="Times New Roman" w:hAnsi="Sylfaen"/>
          <w:sz w:val="24"/>
          <w:szCs w:val="24"/>
          <w:lang w:eastAsia="it-IT"/>
        </w:rPr>
        <w:t xml:space="preserve"> senza che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il creditore </w:t>
      </w:r>
      <w:r w:rsidR="00B96D48">
        <w:rPr>
          <w:rFonts w:ascii="Sylfaen" w:eastAsia="Times New Roman" w:hAnsi="Sylfaen"/>
          <w:sz w:val="24"/>
          <w:szCs w:val="24"/>
          <w:lang w:eastAsia="it-IT"/>
        </w:rPr>
        <w:t xml:space="preserve">abbia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B96D48">
        <w:rPr>
          <w:rFonts w:ascii="Sylfaen" w:eastAsia="Times New Roman" w:hAnsi="Sylfaen"/>
          <w:sz w:val="24"/>
          <w:szCs w:val="24"/>
          <w:lang w:eastAsia="it-IT"/>
        </w:rPr>
        <w:t>proposto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reclamo ex art. 591 ter c.p.c. </w:t>
      </w:r>
    </w:p>
    <w:p w14:paraId="6E5FEC0E" w14:textId="27F348D7" w:rsidR="00DA6901" w:rsidRPr="00311DBF" w:rsidRDefault="00D93ABC" w:rsidP="003B6A5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Ed anzi, </w:t>
      </w:r>
      <w:r w:rsidR="00DA6901">
        <w:rPr>
          <w:rFonts w:ascii="Sylfaen" w:eastAsia="Times New Roman" w:hAnsi="Sylfaen"/>
          <w:sz w:val="24"/>
          <w:szCs w:val="24"/>
          <w:lang w:eastAsia="it-IT"/>
        </w:rPr>
        <w:t xml:space="preserve">proprio la presentazione, in data 15.03.2018, di un’istanza di assegnazione per la vendita del 20.03.2018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>manifesta una volontà contraria della reclamante</w:t>
      </w:r>
      <w:r w:rsidR="00453FB5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>ad interrompere la vendita forzata del cespite pignorato per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 xml:space="preserve"> illegittimità del procedimento di vendita, presupponendo la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piena volontà di mantenere quel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 xml:space="preserve"> prezzo base d’asta</w:t>
      </w:r>
      <w:r w:rsidR="000B7658">
        <w:rPr>
          <w:rFonts w:ascii="Sylfaen" w:eastAsia="Times New Roman" w:hAnsi="Sylfaen"/>
          <w:sz w:val="24"/>
          <w:szCs w:val="24"/>
          <w:lang w:eastAsia="it-IT"/>
        </w:rPr>
        <w:t xml:space="preserve"> (pari ad € 238.613,00)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70EFC89F" w14:textId="160A8780" w:rsidR="007C2AA3" w:rsidRDefault="007C2AA3" w:rsidP="007C2AA3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3B6A5F">
        <w:rPr>
          <w:rFonts w:ascii="Sylfaen" w:eastAsia="Times New Roman" w:hAnsi="Sylfaen"/>
          <w:sz w:val="24"/>
          <w:szCs w:val="24"/>
          <w:lang w:eastAsia="it-IT"/>
        </w:rPr>
        <w:t xml:space="preserve">Le considerazioni sopra esposte appaiono suffragate dalla giurisprudenza della Suprema Corte di Cassazione, la quale ha avuto modo di precisare che, attraverso l’opposizione, si stabilizzano i risultati del processo esecutivo, nel senso che, in caso di mancata opposizione (o </w:t>
      </w:r>
      <w:r w:rsidRPr="003B6A5F">
        <w:rPr>
          <w:rFonts w:ascii="Sylfaen" w:eastAsia="Times New Roman" w:hAnsi="Sylfaen"/>
          <w:sz w:val="24"/>
          <w:szCs w:val="24"/>
          <w:lang w:eastAsia="it-IT"/>
        </w:rPr>
        <w:lastRenderedPageBreak/>
        <w:t>tardiva opposizione) l’eventuale vizio dello svolgimento dell’attività esecutiva è sanato (in tal senso, c</w:t>
      </w:r>
      <w:r w:rsidR="0005480B">
        <w:rPr>
          <w:rFonts w:ascii="Sylfaen" w:eastAsia="Times New Roman" w:hAnsi="Sylfaen"/>
          <w:sz w:val="24"/>
          <w:szCs w:val="24"/>
          <w:lang w:eastAsia="it-IT"/>
        </w:rPr>
        <w:t>fr.</w:t>
      </w:r>
      <w:r w:rsidRPr="003B6A5F">
        <w:rPr>
          <w:rFonts w:ascii="Sylfaen" w:eastAsia="Times New Roman" w:hAnsi="Sylfaen"/>
          <w:sz w:val="24"/>
          <w:szCs w:val="24"/>
          <w:lang w:eastAsia="it-IT"/>
        </w:rPr>
        <w:t xml:space="preserve"> Cass. n. 14449/2016).</w:t>
      </w:r>
    </w:p>
    <w:p w14:paraId="39F07F90" w14:textId="40CC44BF" w:rsidR="00423E23" w:rsidRDefault="004A235C" w:rsidP="009C459B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Inoltre,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anche provando a ricondurre – come prospettato in reclamo – la censura nell’alveo dell’istanza volta a sollecitare un potere </w:t>
      </w:r>
      <w:r w:rsidR="004F08F1">
        <w:rPr>
          <w:rFonts w:ascii="Sylfaen" w:eastAsia="Times New Roman" w:hAnsi="Sylfaen"/>
          <w:i/>
          <w:sz w:val="24"/>
          <w:szCs w:val="24"/>
          <w:lang w:eastAsia="it-IT"/>
        </w:rPr>
        <w:t xml:space="preserve">ex officio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del Giudice dell’esecuzione ai sensi dell’art. 586 c.p.c., devono essere ribadite le argomentazioni  </w:t>
      </w:r>
      <w:r w:rsidR="00EA4598">
        <w:rPr>
          <w:rFonts w:ascii="Sylfaen" w:eastAsia="Times New Roman" w:hAnsi="Sylfaen"/>
          <w:sz w:val="24"/>
          <w:szCs w:val="24"/>
          <w:lang w:eastAsia="it-IT"/>
        </w:rPr>
        <w:t>prospettate</w:t>
      </w:r>
      <w:r w:rsidR="003F18B5">
        <w:rPr>
          <w:rFonts w:ascii="Sylfaen" w:eastAsia="Times New Roman" w:hAnsi="Sylfaen"/>
          <w:sz w:val="24"/>
          <w:szCs w:val="24"/>
          <w:lang w:eastAsia="it-IT"/>
        </w:rPr>
        <w:t xml:space="preserve"> dal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provvedimento reclamato </w:t>
      </w:r>
      <w:r w:rsidR="003F18B5">
        <w:rPr>
          <w:rFonts w:ascii="Sylfaen" w:eastAsia="Times New Roman" w:hAnsi="Sylfaen"/>
          <w:sz w:val="24"/>
          <w:szCs w:val="24"/>
          <w:lang w:eastAsia="it-IT"/>
        </w:rPr>
        <w:t xml:space="preserve">atteso che non ricorrono quei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BF6C53">
        <w:rPr>
          <w:rFonts w:ascii="Sylfaen" w:eastAsia="Times New Roman" w:hAnsi="Sylfaen"/>
          <w:i/>
          <w:sz w:val="24"/>
          <w:szCs w:val="24"/>
          <w:lang w:eastAsia="it-IT"/>
        </w:rPr>
        <w:t xml:space="preserve">fattori devianti </w:t>
      </w:r>
      <w:r w:rsidR="00BF6C53">
        <w:rPr>
          <w:rFonts w:ascii="Sylfaen" w:eastAsia="Times New Roman" w:hAnsi="Sylfaen"/>
          <w:sz w:val="24"/>
          <w:szCs w:val="24"/>
          <w:lang w:eastAsia="it-IT"/>
        </w:rPr>
        <w:t xml:space="preserve">enunciati </w:t>
      </w:r>
      <w:r w:rsidR="004F08F1">
        <w:rPr>
          <w:rFonts w:ascii="Sylfaen" w:eastAsia="Times New Roman" w:hAnsi="Sylfaen"/>
          <w:sz w:val="24"/>
          <w:szCs w:val="24"/>
          <w:lang w:eastAsia="it-IT"/>
        </w:rPr>
        <w:t xml:space="preserve"> dalla giurisprudenza della Suprema Corte di Cassazione (Sentenza n. 18451/2015)</w:t>
      </w:r>
      <w:r w:rsidR="00BF6C53">
        <w:rPr>
          <w:rFonts w:ascii="Sylfaen" w:eastAsia="Times New Roman" w:hAnsi="Sylfaen"/>
          <w:sz w:val="24"/>
          <w:szCs w:val="24"/>
          <w:lang w:eastAsia="it-IT"/>
        </w:rPr>
        <w:t>.</w:t>
      </w:r>
    </w:p>
    <w:p w14:paraId="5A5A7E45" w14:textId="2A6FC9EB" w:rsidR="009C459B" w:rsidRDefault="001407BE" w:rsidP="009C459B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A chiusura delle argomentazioni sopra esposte, va aggiunto che la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 xml:space="preserve"> individuazione del prezzo di vendita è rimessa unicamente ai poteri del Giudice dell’Esecuzione</w:t>
      </w:r>
      <w:r w:rsidR="00FF34D0">
        <w:rPr>
          <w:rFonts w:ascii="Sylfaen" w:eastAsia="Times New Roman" w:hAnsi="Sylfaen"/>
          <w:sz w:val="24"/>
          <w:szCs w:val="24"/>
          <w:lang w:eastAsia="it-IT"/>
        </w:rPr>
        <w:t xml:space="preserve"> (art. 568 c.p.c.)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>, il quale non è vincolato al prezzo di stima individuato dall’Esperto, potendo, per converso, determinarlo valorizzando altri ed ulteriori circostanze di fatto (per esempio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>,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 xml:space="preserve"> la </w:t>
      </w:r>
      <w:r w:rsidR="004A235C">
        <w:rPr>
          <w:rFonts w:ascii="Sylfaen" w:eastAsia="Times New Roman" w:hAnsi="Sylfaen"/>
          <w:i/>
          <w:sz w:val="24"/>
          <w:szCs w:val="24"/>
          <w:lang w:eastAsia="it-IT"/>
        </w:rPr>
        <w:t xml:space="preserve">occupazione dell’immobile, </w:t>
      </w:r>
      <w:r w:rsidR="00FE2C51">
        <w:rPr>
          <w:rFonts w:ascii="Sylfaen" w:eastAsia="Times New Roman" w:hAnsi="Sylfaen"/>
          <w:i/>
          <w:sz w:val="24"/>
          <w:szCs w:val="24"/>
          <w:lang w:eastAsia="it-IT"/>
        </w:rPr>
        <w:t>anche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 xml:space="preserve"> temporanea,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 la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 xml:space="preserve"> più rapida </w:t>
      </w:r>
      <w:r w:rsidR="004A235C" w:rsidRPr="004A235C">
        <w:rPr>
          <w:rFonts w:ascii="Sylfaen" w:eastAsia="Times New Roman" w:hAnsi="Sylfaen"/>
          <w:sz w:val="24"/>
          <w:szCs w:val="24"/>
          <w:lang w:eastAsia="it-IT"/>
        </w:rPr>
        <w:t xml:space="preserve">allocazione del bene nel mercato, 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la </w:t>
      </w:r>
      <w:r w:rsidR="004A235C" w:rsidRPr="004A235C">
        <w:rPr>
          <w:rFonts w:ascii="Sylfaen" w:eastAsia="Times New Roman" w:hAnsi="Sylfaen"/>
          <w:sz w:val="24"/>
          <w:szCs w:val="24"/>
          <w:lang w:eastAsia="it-IT"/>
        </w:rPr>
        <w:t>ragionevol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>e durata del processo esecutivo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, </w:t>
      </w:r>
      <w:r w:rsidR="009C459B" w:rsidRPr="009C459B">
        <w:rPr>
          <w:rFonts w:ascii="Sylfaen" w:eastAsia="Times New Roman" w:hAnsi="Sylfaen"/>
          <w:sz w:val="24"/>
          <w:szCs w:val="24"/>
          <w:lang w:eastAsia="it-IT"/>
        </w:rPr>
        <w:t>la riduzione del valore di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9C459B" w:rsidRPr="009C459B">
        <w:rPr>
          <w:rFonts w:ascii="Sylfaen" w:eastAsia="Times New Roman" w:hAnsi="Sylfaen"/>
          <w:sz w:val="24"/>
          <w:szCs w:val="24"/>
          <w:lang w:eastAsia="it-IT"/>
        </w:rPr>
        <w:t>mercato per l’assenza della garanzia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9C459B" w:rsidRPr="009C459B">
        <w:rPr>
          <w:rFonts w:ascii="Sylfaen" w:eastAsia="Times New Roman" w:hAnsi="Sylfaen"/>
          <w:sz w:val="24"/>
          <w:szCs w:val="24"/>
          <w:lang w:eastAsia="it-IT"/>
        </w:rPr>
        <w:t>per vizi,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9C459B" w:rsidRPr="009C459B">
        <w:rPr>
          <w:rFonts w:ascii="Sylfaen" w:eastAsia="Times New Roman" w:hAnsi="Sylfaen"/>
          <w:sz w:val="24"/>
          <w:szCs w:val="24"/>
          <w:lang w:eastAsia="it-IT"/>
        </w:rPr>
        <w:t>lo stato d’uso e di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9C459B" w:rsidRPr="009C459B">
        <w:rPr>
          <w:rFonts w:ascii="Sylfaen" w:eastAsia="Times New Roman" w:hAnsi="Sylfaen"/>
          <w:sz w:val="24"/>
          <w:szCs w:val="24"/>
          <w:lang w:eastAsia="it-IT"/>
        </w:rPr>
        <w:t>man</w:t>
      </w:r>
      <w:r w:rsidR="009C459B">
        <w:rPr>
          <w:rFonts w:ascii="Sylfaen" w:eastAsia="Times New Roman" w:hAnsi="Sylfaen"/>
          <w:sz w:val="24"/>
          <w:szCs w:val="24"/>
          <w:lang w:eastAsia="it-IT"/>
        </w:rPr>
        <w:t>utenzione, lo stato di possesso</w:t>
      </w:r>
      <w:r w:rsidR="004A235C">
        <w:rPr>
          <w:rFonts w:ascii="Sylfaen" w:eastAsia="Times New Roman" w:hAnsi="Sylfaen"/>
          <w:sz w:val="24"/>
          <w:szCs w:val="24"/>
          <w:lang w:eastAsia="it-IT"/>
        </w:rPr>
        <w:t>).</w:t>
      </w:r>
    </w:p>
    <w:p w14:paraId="5CAAF76E" w14:textId="777637CA" w:rsidR="004A235C" w:rsidRDefault="004A235C" w:rsidP="00311DBF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Alla scelta in concreto rimessa al Giudice dell’Esecuzione di individuazione del prezzo base d’asta fa da contraltare la possibilità, per le parti del processo esecutivo – ove deve essere collocata anche la creditrice intervenuta – di proporre opposizione agli atti. </w:t>
      </w:r>
    </w:p>
    <w:p w14:paraId="25E3130D" w14:textId="49888DA4" w:rsidR="00EF0264" w:rsidRDefault="004A235C" w:rsidP="00EF0264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4A235C">
        <w:rPr>
          <w:rFonts w:ascii="Sylfaen" w:eastAsia="Times New Roman" w:hAnsi="Sylfaen"/>
          <w:sz w:val="24"/>
          <w:szCs w:val="24"/>
          <w:lang w:eastAsia="it-IT"/>
        </w:rPr>
        <w:t xml:space="preserve">È di tutta evidenza che il Giudice dell’esecuzione, nel bilanciamento dei molteplici interessi in gioco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nel caso in esame </w:t>
      </w:r>
      <w:r w:rsidRPr="004A235C">
        <w:rPr>
          <w:rFonts w:ascii="Sylfaen" w:eastAsia="Times New Roman" w:hAnsi="Sylfaen"/>
          <w:sz w:val="24"/>
          <w:szCs w:val="24"/>
          <w:lang w:eastAsia="it-IT"/>
        </w:rPr>
        <w:t>(</w:t>
      </w:r>
      <w:r w:rsidR="00BA3DBB">
        <w:rPr>
          <w:rFonts w:ascii="Sylfaen" w:eastAsia="Times New Roman" w:hAnsi="Sylfaen"/>
          <w:sz w:val="24"/>
          <w:szCs w:val="24"/>
          <w:lang w:eastAsia="it-IT"/>
        </w:rPr>
        <w:t xml:space="preserve">inopponibilità del diritto di abitazione al creditore ipotecario, 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effettiva allocazione del bene pignorato nel mercato e ad un prezzo che permette di coprire 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>interamente il credito del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creditor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>e procedente e parte di quello degli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intervenuti, ragionevole durata del processo esecutivo) </w:t>
      </w:r>
      <w:r w:rsidR="00EF0264">
        <w:rPr>
          <w:rFonts w:ascii="Sylfaen" w:eastAsia="Times New Roman" w:hAnsi="Sylfaen"/>
          <w:sz w:val="24"/>
          <w:szCs w:val="24"/>
          <w:lang w:eastAsia="it-IT"/>
        </w:rPr>
        <w:t xml:space="preserve">ha - allo stato e ferma ogni esclusiva e successiva valutazione - </w:t>
      </w:r>
      <w:r w:rsidRPr="004A235C">
        <w:rPr>
          <w:rFonts w:ascii="Sylfaen" w:eastAsia="Times New Roman" w:hAnsi="Sylfaen"/>
          <w:sz w:val="24"/>
          <w:szCs w:val="24"/>
          <w:lang w:eastAsia="it-IT"/>
        </w:rPr>
        <w:t>ritenuto di non potere obliterare all’attività esecutiva in precedenza compiuta (ed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>,</w:t>
      </w:r>
      <w:r w:rsidRPr="004A235C">
        <w:rPr>
          <w:rFonts w:ascii="Sylfaen" w:eastAsia="Times New Roman" w:hAnsi="Sylfaen"/>
          <w:sz w:val="24"/>
          <w:szCs w:val="24"/>
          <w:lang w:eastAsia="it-IT"/>
        </w:rPr>
        <w:t xml:space="preserve"> in particolare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>,</w:t>
      </w:r>
      <w:r w:rsidRPr="004A235C">
        <w:rPr>
          <w:rFonts w:ascii="Sylfaen" w:eastAsia="Times New Roman" w:hAnsi="Sylfaen"/>
          <w:sz w:val="24"/>
          <w:szCs w:val="24"/>
          <w:lang w:eastAsia="it-IT"/>
        </w:rPr>
        <w:t xml:space="preserve"> ai precedenti tentativi di vendita eseguiti con l’applicazione degli ordinari ribassi del prezzo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135E9645" w14:textId="4EAA7A31" w:rsidR="004A235C" w:rsidRPr="004A235C" w:rsidRDefault="00EF0264" w:rsidP="001407BE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1.3.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>Le considerazioni appena sviluppa</w:t>
      </w:r>
      <w:r w:rsidR="00EA4598">
        <w:rPr>
          <w:rFonts w:ascii="Sylfaen" w:eastAsia="Times New Roman" w:hAnsi="Sylfaen"/>
          <w:sz w:val="24"/>
          <w:szCs w:val="24"/>
          <w:lang w:eastAsia="it-IT"/>
        </w:rPr>
        <w:t>t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 xml:space="preserve">e 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 xml:space="preserve">sono estendibili anche </w:t>
      </w:r>
      <w:r w:rsidR="00311DBF">
        <w:rPr>
          <w:rFonts w:ascii="Sylfaen" w:eastAsia="Times New Roman" w:hAnsi="Sylfaen"/>
          <w:sz w:val="24"/>
          <w:szCs w:val="24"/>
          <w:lang w:eastAsia="it-IT"/>
        </w:rPr>
        <w:t xml:space="preserve">alla 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 xml:space="preserve">censura di cui alla lettera </w:t>
      </w:r>
      <w:r w:rsidR="00607290">
        <w:rPr>
          <w:rFonts w:ascii="Sylfaen" w:eastAsia="Times New Roman" w:hAnsi="Sylfaen"/>
          <w:sz w:val="24"/>
          <w:szCs w:val="24"/>
          <w:lang w:eastAsia="it-IT"/>
        </w:rPr>
        <w:t>b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>), con l’ulteriore precisazione che  la stessa è infondata</w:t>
      </w:r>
      <w:r w:rsidR="00E46DD3">
        <w:rPr>
          <w:rFonts w:ascii="Sylfaen" w:eastAsia="Times New Roman" w:hAnsi="Sylfaen"/>
          <w:sz w:val="24"/>
          <w:szCs w:val="24"/>
          <w:lang w:eastAsia="it-IT"/>
        </w:rPr>
        <w:t xml:space="preserve"> in quanto il frutto di una non corretta interpretazione dell’art. 591 bis c.p.c.. </w:t>
      </w:r>
      <w:r w:rsidR="004A235C" w:rsidRPr="004A235C">
        <w:rPr>
          <w:rFonts w:ascii="Sylfaen" w:eastAsia="Times New Roman" w:hAnsi="Sylfaen"/>
          <w:sz w:val="24"/>
          <w:szCs w:val="24"/>
          <w:lang w:eastAsia="it-IT"/>
        </w:rPr>
        <w:t xml:space="preserve">Tale norma ha assegnato al G.E. il potere di </w:t>
      </w:r>
      <w:r w:rsidR="004A235C" w:rsidRPr="004A235C">
        <w:rPr>
          <w:rFonts w:ascii="Sylfaen" w:eastAsia="Times New Roman" w:hAnsi="Sylfaen"/>
          <w:sz w:val="24"/>
          <w:szCs w:val="24"/>
          <w:lang w:eastAsia="it-IT"/>
        </w:rPr>
        <w:lastRenderedPageBreak/>
        <w:t xml:space="preserve">disporre ribassi fino al limite di un quarto (25%) e dopo il quarto tentativo di vendita andato deserto fino al limite della metà. </w:t>
      </w:r>
    </w:p>
    <w:p w14:paraId="2EB77F8D" w14:textId="77777777" w:rsidR="004A235C" w:rsidRPr="004A235C" w:rsidRDefault="004A235C" w:rsidP="004A235C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4A235C">
        <w:rPr>
          <w:rFonts w:ascii="Sylfaen" w:eastAsia="Times New Roman" w:hAnsi="Sylfaen"/>
          <w:sz w:val="24"/>
          <w:szCs w:val="24"/>
          <w:lang w:eastAsia="it-IT"/>
        </w:rPr>
        <w:t xml:space="preserve">Giova precisare che il richiamo è da intendersi nel senso che, a partire dal quinto tentativo di vendita, è possibile disporre un ribasso, rispetto al </w:t>
      </w:r>
      <w:r w:rsidRPr="004A235C">
        <w:rPr>
          <w:rFonts w:ascii="Sylfaen" w:eastAsia="Times New Roman" w:hAnsi="Sylfaen"/>
          <w:b/>
          <w:sz w:val="24"/>
          <w:szCs w:val="24"/>
          <w:lang w:eastAsia="it-IT"/>
        </w:rPr>
        <w:t>precedente prezzo a base d’asta</w:t>
      </w:r>
      <w:r w:rsidRPr="004A235C">
        <w:rPr>
          <w:rFonts w:ascii="Sylfaen" w:eastAsia="Times New Roman" w:hAnsi="Sylfaen"/>
          <w:sz w:val="24"/>
          <w:szCs w:val="24"/>
          <w:lang w:eastAsia="it-IT"/>
        </w:rPr>
        <w:t>, pari alla metà.</w:t>
      </w:r>
    </w:p>
    <w:p w14:paraId="50A51DB0" w14:textId="77777777" w:rsidR="00EF0264" w:rsidRDefault="00EF0264" w:rsidP="00EF0264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1.4. 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>Irrilevanti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, ai fini del decidere, 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>app</w:t>
      </w:r>
      <w:r>
        <w:rPr>
          <w:rFonts w:ascii="Sylfaen" w:eastAsia="Times New Roman" w:hAnsi="Sylfaen"/>
          <w:sz w:val="24"/>
          <w:szCs w:val="24"/>
          <w:lang w:eastAsia="it-IT"/>
        </w:rPr>
        <w:t>a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>iono</w:t>
      </w:r>
      <w:r>
        <w:rPr>
          <w:rFonts w:ascii="Sylfaen" w:eastAsia="Times New Roman" w:hAnsi="Sylfaen"/>
          <w:sz w:val="24"/>
          <w:szCs w:val="24"/>
          <w:lang w:eastAsia="it-IT"/>
        </w:rPr>
        <w:t>,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 xml:space="preserve"> in ultimo</w:t>
      </w:r>
      <w:r>
        <w:rPr>
          <w:rFonts w:ascii="Sylfaen" w:eastAsia="Times New Roman" w:hAnsi="Sylfaen"/>
          <w:sz w:val="24"/>
          <w:szCs w:val="24"/>
          <w:lang w:eastAsia="it-IT"/>
        </w:rPr>
        <w:t>,</w:t>
      </w:r>
      <w:r w:rsidR="00F2499D">
        <w:rPr>
          <w:rFonts w:ascii="Sylfaen" w:eastAsia="Times New Roman" w:hAnsi="Sylfaen"/>
          <w:sz w:val="24"/>
          <w:szCs w:val="24"/>
          <w:lang w:eastAsia="it-IT"/>
        </w:rPr>
        <w:t xml:space="preserve"> le condizioni economiche e di salute della reclamante e del nucleo familiare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 xml:space="preserve"> (lettera d) in quanto afferenti a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censure 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 xml:space="preserve">che non 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>inficia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>no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 xml:space="preserve"> la </w:t>
      </w:r>
      <w:r w:rsidRPr="00EF0264">
        <w:rPr>
          <w:rFonts w:ascii="Sylfaen" w:eastAsia="Times New Roman" w:hAnsi="Sylfaen"/>
          <w:i/>
          <w:sz w:val="24"/>
          <w:szCs w:val="24"/>
          <w:lang w:eastAsia="it-IT"/>
        </w:rPr>
        <w:t>legittimità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 xml:space="preserve"> del provvedimento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reclamato, 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 xml:space="preserve">investendo unicamente il </w:t>
      </w:r>
      <w:r w:rsidRPr="00EF0264">
        <w:rPr>
          <w:rFonts w:ascii="Sylfaen" w:eastAsia="Times New Roman" w:hAnsi="Sylfaen"/>
          <w:i/>
          <w:sz w:val="24"/>
          <w:szCs w:val="24"/>
          <w:lang w:eastAsia="it-IT"/>
        </w:rPr>
        <w:t>quomodo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>, ossia le concrete modalità per l’attuazione del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trasferimento del bene e del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>l’ordine di liberazione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6970BE21" w14:textId="4208EF5B" w:rsidR="00EF0264" w:rsidRDefault="00EF0264" w:rsidP="00EF0264">
      <w:pPr>
        <w:spacing w:after="0" w:line="360" w:lineRule="auto"/>
        <w:ind w:firstLine="426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EF0264">
        <w:rPr>
          <w:rFonts w:ascii="Sylfaen" w:eastAsia="Times New Roman" w:hAnsi="Sylfaen"/>
          <w:sz w:val="24"/>
          <w:szCs w:val="24"/>
          <w:lang w:eastAsia="it-IT"/>
        </w:rPr>
        <w:t>In altri termini, occorre precisare che la destinazione del bene pignorato ad abitazione principale del debitore (e del suo nucleo familiare)</w:t>
      </w:r>
      <w:r w:rsidR="00634FED">
        <w:rPr>
          <w:rFonts w:ascii="Sylfaen" w:eastAsia="Times New Roman" w:hAnsi="Sylfaen"/>
          <w:sz w:val="24"/>
          <w:szCs w:val="24"/>
          <w:lang w:eastAsia="it-IT"/>
        </w:rPr>
        <w:t xml:space="preserve"> e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 xml:space="preserve"> le condizioni di salute dei membri che lo abitano 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 xml:space="preserve">non 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>sono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 xml:space="preserve"> in grado – per ciò solo - di rendere illegittima la procedura esecutiva, né rappresenta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>no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 xml:space="preserve"> un ostacolo alla</w:t>
      </w:r>
      <w:r>
        <w:rPr>
          <w:rFonts w:ascii="Sylfaen" w:eastAsia="Times New Roman" w:hAnsi="Sylfaen"/>
          <w:sz w:val="24"/>
          <w:szCs w:val="24"/>
          <w:lang w:eastAsia="it-IT"/>
        </w:rPr>
        <w:t xml:space="preserve"> sua definizione con la vendita e l’</w:t>
      </w:r>
      <w:r w:rsidRPr="00EF0264">
        <w:rPr>
          <w:rFonts w:ascii="Sylfaen" w:eastAsia="Times New Roman" w:hAnsi="Sylfaen"/>
          <w:sz w:val="24"/>
          <w:szCs w:val="24"/>
          <w:lang w:eastAsia="it-IT"/>
        </w:rPr>
        <w:t>esecuzione dell’ordine di liberazione.</w:t>
      </w:r>
    </w:p>
    <w:p w14:paraId="062867C1" w14:textId="77777777" w:rsidR="00C776E9" w:rsidRDefault="005E4204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2. </w:t>
      </w:r>
      <w:r w:rsidR="001C06F6">
        <w:rPr>
          <w:rFonts w:ascii="Sylfaen" w:eastAsia="Times New Roman" w:hAnsi="Sylfaen"/>
          <w:sz w:val="24"/>
          <w:szCs w:val="24"/>
          <w:lang w:eastAsia="it-IT"/>
        </w:rPr>
        <w:t xml:space="preserve">Tenuto conto della costituzione tardiva della convenuta, oltre la prima udienza del 9.11.2018, </w:t>
      </w:r>
      <w:r w:rsidR="003A5A4C">
        <w:rPr>
          <w:rFonts w:ascii="Sylfaen" w:eastAsia="Times New Roman" w:hAnsi="Sylfaen"/>
          <w:sz w:val="24"/>
          <w:szCs w:val="24"/>
          <w:lang w:eastAsia="it-IT"/>
        </w:rPr>
        <w:t xml:space="preserve">e della complessità della vicenda trattata </w:t>
      </w:r>
      <w:r w:rsidR="001C06F6">
        <w:rPr>
          <w:rFonts w:ascii="Sylfaen" w:eastAsia="Times New Roman" w:hAnsi="Sylfaen"/>
          <w:sz w:val="24"/>
          <w:szCs w:val="24"/>
          <w:lang w:eastAsia="it-IT"/>
        </w:rPr>
        <w:t>sussistono i presupposti per una compensazione totale delle spese di lite.</w:t>
      </w:r>
    </w:p>
    <w:p w14:paraId="6E1C4617" w14:textId="77777777" w:rsidR="00C776E9" w:rsidRPr="00C776E9" w:rsidRDefault="00C776E9" w:rsidP="00C776E9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C776E9">
        <w:rPr>
          <w:rFonts w:ascii="Sylfaen" w:eastAsia="Times New Roman" w:hAnsi="Sylfaen"/>
          <w:sz w:val="24"/>
          <w:szCs w:val="24"/>
          <w:lang w:eastAsia="it-IT"/>
        </w:rPr>
        <w:t xml:space="preserve">Va dato atto della sussistenza dei presupposti per l’applicazione dell’art. 13 comma 1 </w:t>
      </w:r>
      <w:r w:rsidRPr="00C776E9">
        <w:rPr>
          <w:rFonts w:ascii="Sylfaen" w:eastAsia="Times New Roman" w:hAnsi="Sylfaen"/>
          <w:i/>
          <w:sz w:val="24"/>
          <w:szCs w:val="24"/>
          <w:lang w:eastAsia="it-IT"/>
        </w:rPr>
        <w:t xml:space="preserve">quater  </w:t>
      </w:r>
      <w:r w:rsidRPr="00C776E9">
        <w:rPr>
          <w:rFonts w:ascii="Sylfaen" w:eastAsia="Times New Roman" w:hAnsi="Sylfaen"/>
          <w:sz w:val="24"/>
          <w:szCs w:val="24"/>
          <w:lang w:eastAsia="it-IT"/>
        </w:rPr>
        <w:t>d.P.R. n. 115/2002 (“</w:t>
      </w:r>
      <w:r w:rsidRPr="00C776E9">
        <w:rPr>
          <w:rFonts w:ascii="Sylfaen" w:eastAsia="Times New Roman" w:hAnsi="Sylfaen"/>
          <w:i/>
          <w:sz w:val="24"/>
          <w:szCs w:val="24"/>
          <w:lang w:eastAsia="it-IT"/>
        </w:rPr>
        <w:t xml:space="preserve">quando l’impugnazione, anche incidentale, è respinta integralmente o è dichiarata inammissibile o improcedibile, la parte che l’ha proposta è tenuta a versare un ulteriore importo a titolo di contributo unificato pari a quello dovuto per la stessa impugnazione, principale o incidentale, a norma del comma 1 </w:t>
      </w:r>
      <w:r w:rsidRPr="00C776E9">
        <w:rPr>
          <w:rFonts w:ascii="Sylfaen" w:eastAsia="Times New Roman" w:hAnsi="Sylfaen"/>
          <w:sz w:val="24"/>
          <w:szCs w:val="24"/>
          <w:lang w:eastAsia="it-IT"/>
        </w:rPr>
        <w:t>bis”).</w:t>
      </w:r>
    </w:p>
    <w:p w14:paraId="253AE5FC" w14:textId="57211228" w:rsidR="001C06F6" w:rsidRDefault="001C06F6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</w:p>
    <w:p w14:paraId="5F95C0E6" w14:textId="77777777" w:rsidR="00294CEA" w:rsidRPr="00294CEA" w:rsidRDefault="00294CEA" w:rsidP="00294CEA">
      <w:pPr>
        <w:spacing w:after="0" w:line="360" w:lineRule="auto"/>
        <w:jc w:val="center"/>
        <w:rPr>
          <w:rFonts w:ascii="Sylfaen" w:eastAsia="Times New Roman" w:hAnsi="Sylfaen"/>
          <w:b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b/>
          <w:sz w:val="24"/>
          <w:szCs w:val="24"/>
          <w:lang w:eastAsia="it-IT"/>
        </w:rPr>
        <w:t>P.Q.M.</w:t>
      </w:r>
    </w:p>
    <w:p w14:paraId="0F1614EB" w14:textId="34C9B9C5" w:rsidR="00294CEA" w:rsidRPr="00294CEA" w:rsidRDefault="00EF0264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 xml:space="preserve">1. rigetta 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il reclamo proposto in data </w:t>
      </w:r>
      <w:r>
        <w:rPr>
          <w:rFonts w:ascii="Sylfaen" w:eastAsia="Times New Roman" w:hAnsi="Sylfaen"/>
          <w:sz w:val="24"/>
          <w:szCs w:val="24"/>
          <w:lang w:eastAsia="it-IT"/>
        </w:rPr>
        <w:t>27 settembre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2018 da </w:t>
      </w:r>
      <w:r>
        <w:rPr>
          <w:rFonts w:ascii="Sylfaen" w:eastAsia="Times New Roman" w:hAnsi="Sylfaen"/>
          <w:sz w:val="24"/>
          <w:szCs w:val="24"/>
          <w:lang w:eastAsia="it-IT"/>
        </w:rPr>
        <w:t>Casano Gaja</w:t>
      </w:r>
      <w:r w:rsidR="005E4204" w:rsidRPr="005E4204">
        <w:rPr>
          <w:rFonts w:ascii="Sylfaen" w:eastAsia="Times New Roman" w:hAnsi="Sylfaen"/>
          <w:sz w:val="24"/>
          <w:szCs w:val="24"/>
          <w:lang w:eastAsia="it-IT"/>
        </w:rPr>
        <w:t xml:space="preserve"> </w:t>
      </w:r>
      <w:r w:rsidR="00F302B2">
        <w:rPr>
          <w:rFonts w:ascii="Sylfaen" w:eastAsia="Times New Roman" w:hAnsi="Sylfaen"/>
          <w:sz w:val="24"/>
          <w:szCs w:val="24"/>
          <w:lang w:eastAsia="it-IT"/>
        </w:rPr>
        <w:t xml:space="preserve"> con conferma del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l’ordinanza depositata il </w:t>
      </w:r>
      <w:r w:rsidR="001C06F6">
        <w:rPr>
          <w:rFonts w:ascii="Sylfaen" w:eastAsia="Times New Roman" w:hAnsi="Sylfaen"/>
          <w:sz w:val="24"/>
          <w:szCs w:val="24"/>
          <w:lang w:eastAsia="it-IT"/>
        </w:rPr>
        <w:t>7 settembre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2018 nell’ambito della procedura esecutiva immobiliare n. </w:t>
      </w:r>
      <w:r w:rsidR="001C06F6">
        <w:rPr>
          <w:rFonts w:ascii="Sylfaen" w:eastAsia="Times New Roman" w:hAnsi="Sylfaen"/>
          <w:sz w:val="24"/>
          <w:szCs w:val="24"/>
          <w:lang w:eastAsia="it-IT"/>
        </w:rPr>
        <w:t>236-3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>/</w:t>
      </w:r>
      <w:r w:rsidR="001C06F6">
        <w:rPr>
          <w:rFonts w:ascii="Sylfaen" w:eastAsia="Times New Roman" w:hAnsi="Sylfaen"/>
          <w:sz w:val="24"/>
          <w:szCs w:val="24"/>
          <w:lang w:eastAsia="it-IT"/>
        </w:rPr>
        <w:t>2013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R.G.Es.;</w:t>
      </w:r>
    </w:p>
    <w:p w14:paraId="5D2D3B49" w14:textId="204744E1" w:rsidR="001407BE" w:rsidRDefault="00C776E9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t>2.</w:t>
      </w:r>
      <w:r w:rsidR="00294CEA" w:rsidRPr="00294CEA">
        <w:rPr>
          <w:rFonts w:ascii="Sylfaen" w:eastAsia="Times New Roman" w:hAnsi="Sylfaen"/>
          <w:sz w:val="24"/>
          <w:szCs w:val="24"/>
          <w:lang w:eastAsia="it-IT"/>
        </w:rPr>
        <w:t xml:space="preserve"> co</w:t>
      </w:r>
      <w:r w:rsidR="001407BE">
        <w:rPr>
          <w:rFonts w:ascii="Sylfaen" w:eastAsia="Times New Roman" w:hAnsi="Sylfaen"/>
          <w:sz w:val="24"/>
          <w:szCs w:val="24"/>
          <w:lang w:eastAsia="it-IT"/>
        </w:rPr>
        <w:t>mpens</w:t>
      </w:r>
      <w:r>
        <w:rPr>
          <w:rFonts w:ascii="Sylfaen" w:eastAsia="Times New Roman" w:hAnsi="Sylfaen"/>
          <w:sz w:val="24"/>
          <w:szCs w:val="24"/>
          <w:lang w:eastAsia="it-IT"/>
        </w:rPr>
        <w:t>a interamente le spese di lite;</w:t>
      </w:r>
    </w:p>
    <w:p w14:paraId="15B6C8EF" w14:textId="293DC2D8" w:rsidR="00C776E9" w:rsidRDefault="00C776E9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>
        <w:rPr>
          <w:rFonts w:ascii="Sylfaen" w:eastAsia="Times New Roman" w:hAnsi="Sylfaen"/>
          <w:sz w:val="24"/>
          <w:szCs w:val="24"/>
          <w:lang w:eastAsia="it-IT"/>
        </w:rPr>
        <w:lastRenderedPageBreak/>
        <w:t xml:space="preserve">3. </w:t>
      </w:r>
      <w:r w:rsidRPr="00C776E9">
        <w:rPr>
          <w:rFonts w:ascii="Sylfaen" w:eastAsia="Times New Roman" w:hAnsi="Sylfaen"/>
          <w:sz w:val="24"/>
          <w:szCs w:val="24"/>
          <w:lang w:eastAsia="it-IT"/>
        </w:rPr>
        <w:t>dichiara la sussistenza delle condizioni per il pagamento, da parte della reclamante, di un ulteriore importo a titolo di contributo unificato, a norma dell’art. 13 comma 1 quater D.P.R. 30/5/2002 n. 115.</w:t>
      </w:r>
    </w:p>
    <w:p w14:paraId="2B48370A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>Manda alla Cancelleria per le comunicazioni di rito.</w:t>
      </w:r>
    </w:p>
    <w:p w14:paraId="0C74341B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Così deciso in Palermo nella camera di consiglio del </w:t>
      </w:r>
      <w:r w:rsidR="001C06F6">
        <w:rPr>
          <w:rFonts w:ascii="Sylfaen" w:eastAsia="Times New Roman" w:hAnsi="Sylfaen"/>
          <w:sz w:val="24"/>
          <w:szCs w:val="24"/>
          <w:lang w:eastAsia="it-IT"/>
        </w:rPr>
        <w:t>18 gennaio 2019</w:t>
      </w:r>
      <w:r w:rsidRPr="00294CEA">
        <w:rPr>
          <w:rFonts w:ascii="Sylfaen" w:eastAsia="Times New Roman" w:hAnsi="Sylfaen"/>
          <w:sz w:val="24"/>
          <w:szCs w:val="24"/>
          <w:lang w:eastAsia="it-IT"/>
        </w:rPr>
        <w:t xml:space="preserve">. </w:t>
      </w:r>
    </w:p>
    <w:p w14:paraId="60FFAF7F" w14:textId="77777777" w:rsidR="00294CEA" w:rsidRPr="00294CEA" w:rsidRDefault="00294CEA" w:rsidP="00294CEA">
      <w:pPr>
        <w:spacing w:after="0" w:line="360" w:lineRule="auto"/>
        <w:jc w:val="both"/>
        <w:rPr>
          <w:rFonts w:ascii="Sylfaen" w:eastAsia="Times New Roman" w:hAnsi="Sylfaen"/>
          <w:b/>
          <w:sz w:val="24"/>
          <w:szCs w:val="24"/>
          <w:lang w:eastAsia="it-IT"/>
        </w:rPr>
      </w:pPr>
      <w:r w:rsidRPr="00294CEA">
        <w:rPr>
          <w:rFonts w:ascii="Sylfaen" w:eastAsia="Times New Roman" w:hAnsi="Sylfaen"/>
          <w:b/>
          <w:sz w:val="24"/>
          <w:szCs w:val="24"/>
          <w:lang w:eastAsia="it-IT"/>
        </w:rPr>
        <w:t xml:space="preserve">       Il Giudice relatore                                                              Il Presidente </w:t>
      </w:r>
    </w:p>
    <w:p w14:paraId="4BFC841C" w14:textId="7D1E9A1D" w:rsidR="005A259B" w:rsidRPr="008824F8" w:rsidRDefault="001C06F6" w:rsidP="0026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Sylfaen" w:hAnsi="Sylfaen" w:cs="Arial"/>
          <w:i/>
          <w:sz w:val="24"/>
          <w:szCs w:val="24"/>
        </w:rPr>
      </w:pPr>
      <w:r>
        <w:rPr>
          <w:rFonts w:ascii="Sylfaen" w:eastAsia="Times New Roman" w:hAnsi="Sylfaen"/>
          <w:i/>
          <w:sz w:val="24"/>
          <w:szCs w:val="24"/>
          <w:lang w:eastAsia="it-IT"/>
        </w:rPr>
        <w:t xml:space="preserve">Valentina Imperiale </w:t>
      </w:r>
      <w:r>
        <w:rPr>
          <w:rFonts w:ascii="Sylfaen" w:eastAsia="Times New Roman" w:hAnsi="Sylfaen"/>
          <w:i/>
          <w:sz w:val="24"/>
          <w:szCs w:val="24"/>
          <w:lang w:eastAsia="it-IT"/>
        </w:rPr>
        <w:tab/>
      </w:r>
      <w:r>
        <w:rPr>
          <w:rFonts w:ascii="Sylfaen" w:eastAsia="Times New Roman" w:hAnsi="Sylfaen"/>
          <w:i/>
          <w:sz w:val="24"/>
          <w:szCs w:val="24"/>
          <w:lang w:eastAsia="it-IT"/>
        </w:rPr>
        <w:tab/>
      </w:r>
      <w:r>
        <w:rPr>
          <w:rFonts w:ascii="Sylfaen" w:eastAsia="Times New Roman" w:hAnsi="Sylfaen"/>
          <w:i/>
          <w:sz w:val="24"/>
          <w:szCs w:val="24"/>
          <w:lang w:eastAsia="it-IT"/>
        </w:rPr>
        <w:tab/>
      </w:r>
      <w:r>
        <w:rPr>
          <w:rFonts w:ascii="Sylfaen" w:eastAsia="Times New Roman" w:hAnsi="Sylfaen"/>
          <w:i/>
          <w:sz w:val="24"/>
          <w:szCs w:val="24"/>
          <w:lang w:eastAsia="it-IT"/>
        </w:rPr>
        <w:tab/>
      </w:r>
      <w:r>
        <w:rPr>
          <w:rFonts w:ascii="Sylfaen" w:eastAsia="Times New Roman" w:hAnsi="Sylfaen"/>
          <w:i/>
          <w:sz w:val="24"/>
          <w:szCs w:val="24"/>
          <w:lang w:eastAsia="it-IT"/>
        </w:rPr>
        <w:tab/>
      </w:r>
      <w:r w:rsidR="00294CEA" w:rsidRPr="00294CEA">
        <w:rPr>
          <w:rFonts w:ascii="Sylfaen" w:eastAsia="Times New Roman" w:hAnsi="Sylfaen"/>
          <w:i/>
          <w:sz w:val="24"/>
          <w:szCs w:val="24"/>
          <w:lang w:eastAsia="it-IT"/>
        </w:rPr>
        <w:t>Gabriella Di Marco</w:t>
      </w:r>
    </w:p>
    <w:sectPr w:rsidR="005A259B" w:rsidRPr="008824F8" w:rsidSect="005E4204">
      <w:footerReference w:type="default" r:id="rId8"/>
      <w:pgSz w:w="11906" w:h="16838"/>
      <w:pgMar w:top="1135" w:right="1134" w:bottom="1985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C5E2" w14:textId="77777777" w:rsidR="00556182" w:rsidRDefault="00556182" w:rsidP="00294CEA">
      <w:pPr>
        <w:spacing w:after="0" w:line="240" w:lineRule="auto"/>
      </w:pPr>
      <w:r>
        <w:separator/>
      </w:r>
    </w:p>
  </w:endnote>
  <w:endnote w:type="continuationSeparator" w:id="0">
    <w:p w14:paraId="06AFA963" w14:textId="77777777" w:rsidR="00556182" w:rsidRDefault="00556182" w:rsidP="0029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EF83" w14:textId="77777777" w:rsidR="00294CEA" w:rsidRPr="00C4693B" w:rsidRDefault="00294CEA">
    <w:pPr>
      <w:pStyle w:val="Pidipagina"/>
      <w:jc w:val="center"/>
      <w:rPr>
        <w:rFonts w:ascii="Sylfaen" w:hAnsi="Sylfaen"/>
        <w:sz w:val="20"/>
        <w:szCs w:val="20"/>
      </w:rPr>
    </w:pPr>
    <w:r w:rsidRPr="00C4693B">
      <w:rPr>
        <w:rFonts w:ascii="Sylfaen" w:hAnsi="Sylfaen"/>
        <w:sz w:val="20"/>
        <w:szCs w:val="20"/>
      </w:rPr>
      <w:fldChar w:fldCharType="begin"/>
    </w:r>
    <w:r w:rsidRPr="00C4693B">
      <w:rPr>
        <w:rFonts w:ascii="Sylfaen" w:hAnsi="Sylfaen"/>
        <w:sz w:val="20"/>
        <w:szCs w:val="20"/>
      </w:rPr>
      <w:instrText>PAGE   \* MERGEFORMAT</w:instrText>
    </w:r>
    <w:r w:rsidRPr="00C4693B">
      <w:rPr>
        <w:rFonts w:ascii="Sylfaen" w:hAnsi="Sylfaen"/>
        <w:sz w:val="20"/>
        <w:szCs w:val="20"/>
      </w:rPr>
      <w:fldChar w:fldCharType="separate"/>
    </w:r>
    <w:r w:rsidR="00F35B14">
      <w:rPr>
        <w:rFonts w:ascii="Sylfaen" w:hAnsi="Sylfaen"/>
        <w:noProof/>
        <w:sz w:val="20"/>
        <w:szCs w:val="20"/>
      </w:rPr>
      <w:t>9</w:t>
    </w:r>
    <w:r w:rsidRPr="00C4693B">
      <w:rPr>
        <w:rFonts w:ascii="Sylfaen" w:hAnsi="Sylfaen"/>
        <w:sz w:val="20"/>
        <w:szCs w:val="20"/>
      </w:rPr>
      <w:fldChar w:fldCharType="end"/>
    </w:r>
  </w:p>
  <w:p w14:paraId="3E326EE0" w14:textId="77777777" w:rsidR="00294CEA" w:rsidRDefault="00294C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D0014" w14:textId="77777777" w:rsidR="00556182" w:rsidRDefault="00556182" w:rsidP="00294CEA">
      <w:pPr>
        <w:spacing w:after="0" w:line="240" w:lineRule="auto"/>
      </w:pPr>
      <w:r>
        <w:separator/>
      </w:r>
    </w:p>
  </w:footnote>
  <w:footnote w:type="continuationSeparator" w:id="0">
    <w:p w14:paraId="15E6CA39" w14:textId="77777777" w:rsidR="00556182" w:rsidRDefault="00556182" w:rsidP="0029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EC4"/>
    <w:multiLevelType w:val="hybridMultilevel"/>
    <w:tmpl w:val="07B8997A"/>
    <w:lvl w:ilvl="0" w:tplc="E0A4A82A">
      <w:start w:val="1"/>
      <w:numFmt w:val="bullet"/>
      <w:lvlText w:val="-"/>
      <w:lvlJc w:val="left"/>
      <w:pPr>
        <w:ind w:left="786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C2749F7"/>
    <w:multiLevelType w:val="hybridMultilevel"/>
    <w:tmpl w:val="DA6267F4"/>
    <w:lvl w:ilvl="0" w:tplc="252ECBEC">
      <w:start w:val="1"/>
      <w:numFmt w:val="bullet"/>
      <w:lvlText w:val="-"/>
      <w:lvlJc w:val="left"/>
      <w:pPr>
        <w:ind w:left="786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8"/>
    <w:rsid w:val="00011F32"/>
    <w:rsid w:val="00047D8D"/>
    <w:rsid w:val="0005480B"/>
    <w:rsid w:val="00073B9E"/>
    <w:rsid w:val="000844CC"/>
    <w:rsid w:val="000A4CB9"/>
    <w:rsid w:val="000B7658"/>
    <w:rsid w:val="000F5595"/>
    <w:rsid w:val="001407BE"/>
    <w:rsid w:val="00165620"/>
    <w:rsid w:val="00190E88"/>
    <w:rsid w:val="0019439C"/>
    <w:rsid w:val="001C05EE"/>
    <w:rsid w:val="001C06F6"/>
    <w:rsid w:val="00226FD7"/>
    <w:rsid w:val="00232228"/>
    <w:rsid w:val="002373B5"/>
    <w:rsid w:val="002542EB"/>
    <w:rsid w:val="00264CEB"/>
    <w:rsid w:val="00280D51"/>
    <w:rsid w:val="00294CEA"/>
    <w:rsid w:val="002C3466"/>
    <w:rsid w:val="002D0CE3"/>
    <w:rsid w:val="00302B9B"/>
    <w:rsid w:val="0030679E"/>
    <w:rsid w:val="00311DBF"/>
    <w:rsid w:val="00321DC7"/>
    <w:rsid w:val="00352A21"/>
    <w:rsid w:val="00376C65"/>
    <w:rsid w:val="00381711"/>
    <w:rsid w:val="00395505"/>
    <w:rsid w:val="003A5A4C"/>
    <w:rsid w:val="003B6A5F"/>
    <w:rsid w:val="003E03DF"/>
    <w:rsid w:val="003E3671"/>
    <w:rsid w:val="003F18B5"/>
    <w:rsid w:val="004123C3"/>
    <w:rsid w:val="00423E23"/>
    <w:rsid w:val="004420ED"/>
    <w:rsid w:val="00453FB5"/>
    <w:rsid w:val="004A235C"/>
    <w:rsid w:val="004D47E4"/>
    <w:rsid w:val="004D6018"/>
    <w:rsid w:val="004F08F1"/>
    <w:rsid w:val="00512FB7"/>
    <w:rsid w:val="00515867"/>
    <w:rsid w:val="005442B9"/>
    <w:rsid w:val="00556182"/>
    <w:rsid w:val="005A074D"/>
    <w:rsid w:val="005A259B"/>
    <w:rsid w:val="005E4204"/>
    <w:rsid w:val="005F1D5E"/>
    <w:rsid w:val="005F1E69"/>
    <w:rsid w:val="00607290"/>
    <w:rsid w:val="0062653E"/>
    <w:rsid w:val="00634FED"/>
    <w:rsid w:val="00655267"/>
    <w:rsid w:val="00686731"/>
    <w:rsid w:val="00692FAC"/>
    <w:rsid w:val="006A0D12"/>
    <w:rsid w:val="006A7487"/>
    <w:rsid w:val="006B1601"/>
    <w:rsid w:val="006C5C61"/>
    <w:rsid w:val="006D10F9"/>
    <w:rsid w:val="006E0C45"/>
    <w:rsid w:val="006E507A"/>
    <w:rsid w:val="006F780F"/>
    <w:rsid w:val="00713078"/>
    <w:rsid w:val="00722EF0"/>
    <w:rsid w:val="00733DAE"/>
    <w:rsid w:val="0077623C"/>
    <w:rsid w:val="007B18B1"/>
    <w:rsid w:val="007C2227"/>
    <w:rsid w:val="007C2AA3"/>
    <w:rsid w:val="007F178C"/>
    <w:rsid w:val="007F57A5"/>
    <w:rsid w:val="008824F8"/>
    <w:rsid w:val="008962C1"/>
    <w:rsid w:val="009279CF"/>
    <w:rsid w:val="00951D21"/>
    <w:rsid w:val="009B6402"/>
    <w:rsid w:val="009C459B"/>
    <w:rsid w:val="009E083E"/>
    <w:rsid w:val="00A5542F"/>
    <w:rsid w:val="00A6799B"/>
    <w:rsid w:val="00AA301E"/>
    <w:rsid w:val="00B74661"/>
    <w:rsid w:val="00B96D48"/>
    <w:rsid w:val="00BA38E9"/>
    <w:rsid w:val="00BA3DBB"/>
    <w:rsid w:val="00BB19FF"/>
    <w:rsid w:val="00BF6C53"/>
    <w:rsid w:val="00C22D9F"/>
    <w:rsid w:val="00C4693B"/>
    <w:rsid w:val="00C52D56"/>
    <w:rsid w:val="00C640DD"/>
    <w:rsid w:val="00C75FD3"/>
    <w:rsid w:val="00C776E9"/>
    <w:rsid w:val="00CB59E6"/>
    <w:rsid w:val="00CD66AA"/>
    <w:rsid w:val="00CE549A"/>
    <w:rsid w:val="00D40907"/>
    <w:rsid w:val="00D86D0D"/>
    <w:rsid w:val="00D93ABC"/>
    <w:rsid w:val="00DA6901"/>
    <w:rsid w:val="00DF0CD7"/>
    <w:rsid w:val="00E0048E"/>
    <w:rsid w:val="00E02E7D"/>
    <w:rsid w:val="00E14864"/>
    <w:rsid w:val="00E46DD3"/>
    <w:rsid w:val="00E773CE"/>
    <w:rsid w:val="00EA4598"/>
    <w:rsid w:val="00ED0F8C"/>
    <w:rsid w:val="00ED4C33"/>
    <w:rsid w:val="00EE1A82"/>
    <w:rsid w:val="00EF0264"/>
    <w:rsid w:val="00F156AB"/>
    <w:rsid w:val="00F20785"/>
    <w:rsid w:val="00F2499D"/>
    <w:rsid w:val="00F302B2"/>
    <w:rsid w:val="00F35B14"/>
    <w:rsid w:val="00F65A5D"/>
    <w:rsid w:val="00F737A3"/>
    <w:rsid w:val="00F7415B"/>
    <w:rsid w:val="00F828D7"/>
    <w:rsid w:val="00FE2C51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DF5B"/>
  <w15:docId w15:val="{C927E30F-902B-44F4-83CC-018663F5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60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4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94CE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94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4C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Imperiale</dc:creator>
  <cp:lastModifiedBy>Alessandro Auletta</cp:lastModifiedBy>
  <cp:revision>2</cp:revision>
  <cp:lastPrinted>2019-01-21T08:00:00Z</cp:lastPrinted>
  <dcterms:created xsi:type="dcterms:W3CDTF">2019-03-05T06:28:00Z</dcterms:created>
  <dcterms:modified xsi:type="dcterms:W3CDTF">2019-03-05T06:28:00Z</dcterms:modified>
</cp:coreProperties>
</file>